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DAS/125/2024 vom 22. Dezember 2023</w:t>
      </w:r>
    </w:p>
    <w:p>
      <w:r>
        <w:t>GE Cour de justice, 2023-12-22, FR</w:t>
      </w:r>
    </w:p>
    <w:p>
      <w:r>
        <w:rPr>
          <w:b/>
        </w:rPr>
        <w:t xml:space="preserve">Quelle: </w:t>
      </w:r>
      <w:r>
        <w:t>https://mcp.opencaselaw.ch/entscheid/ge_gerichte_DAS_125_2024</w:t>
      </w:r>
    </w:p>
    <w:p>
      <w:r>
        <w:t>FR: GE_GERICHTE DAS/125/2024 du 22 décembre 2023</w:t>
      </w:r>
    </w:p>
    <w:p>
      <w:r>
        <w:t>IT: GE_GERICHTE DAS/125/2024 del 22 dicembre 2023</w:t>
      </w:r>
    </w:p>
    <w:p>
      <w:pPr>
        <w:pStyle w:val="Heading2"/>
      </w:pPr>
      <w:r>
        <w:t>Erwägungen</w:t>
      </w:r>
    </w:p>
    <w:p>
      <w:r>
        <w:rPr>
          <w:b/>
        </w:rPr>
        <w:t>E. 1</w:t>
      </w:r>
    </w:p>
    <w:p>
      <w:r>
        <w:t>1.1 Interjeté auprès de la Chambre de surveillance de la Cour de justice (art. 53 al. 1 LaCC) dans le délai utile de dix jours (art. 314 al. 1 et 445 al. 3 CC), par une personne disposant de la qualité pour recourir (art. 450 al. 1 ch. 1 CC) et dans le respect des conditions de l’art. 450 al. 3 CC, le recours est recevable.</w:t>
      </w:r>
    </w:p>
    <w:p>
      <w:r>
        <w:rPr>
          <w:b/>
        </w:rPr>
        <w:t>E. 1.2</w:t>
      </w:r>
    </w:p>
    <w:p>
      <w:r>
        <w:t>La Chambre de surveillance revoit la cause, soumise aux maximes inquisitoire illimitée et d'office (art. 446 al. 1 et 3 applicable par le renvoi de l'art. 314 al. 1 CC), avec un plein pouvoir d'examen (art. 450a al. 1 CC).</w:t>
      </w:r>
    </w:p>
    <w:p>
      <w:r>
        <w:rPr>
          <w:b/>
        </w:rPr>
        <w:t>E. 2</w:t>
      </w:r>
    </w:p>
    <w:p>
      <w:r>
        <w:t>2.1.1 A la requête du père ou de la mère, de l’enfant ou de l’autorité de protection de l’enfant, l’attribution de l’autorité parentale doit être modifiée lorsque des faits nouveaux importants l’exigent pour le bien de l’enfant (art. 134 al. 1 CC). Les conditions se rapportant à la modification des autres droits et devoirs des père et mère sont définies par les dispositions relatives aux effets de la filiation (art. 134 al. 2 CC). En cas d’accord entre les père et mère, l’autorité de protection de l’enfant est compétente pour modifier l’attribution de l’autorité parentale et de la garde ainsi que pour ratifier la convention relative à l’entretien de l’enfant. Dans les autres cas, la décision appartient au juge compétent pour modifier le jugement de divorce (art. 134 al. 3 CC). Lorsqu’il statue sur la modification de l’autorité parentale, de la garde ou de la contribution d’entretien d’un enfant mineur, le juge modifie au besoin la manière dont les relations personnelles ou la participation de chaque parent à sa prise en charge ont été</w:t>
      </w:r>
    </w:p>
    <w:p>
      <w:r>
        <w:t>- 11/16 -</w:t>
      </w:r>
    </w:p>
    <w:p>
      <w:r>
        <w:t>C/11260/2012-CS réglées; dans les autres cas, l’autorité de protection de l’enfant est compétente en la matière (art. 134 al. 4 CC). A la requête de l’un des parents ou de l’enfant ou encore d’office, l’autorité de protection de l’enfant modifie l’attribution de l’autorité parentale lorsque des faits nouveaux importants le commandent pour le bien de l’enfant (art. 298d al. 1 CC). Elle peut aussi se limiter à statuer sur la garde de l’enfant, les relations personnelles ou la participation de chaque parent à sa prise en charge (art. 298d al. 2 CC). L’action en modification de la contribution d’entretien, à intenter devant le juge compétent, est réservée ; dans ce cas, le juge modifie au besoin la manière dont l’autorité parentale et les autres points concernant le sort des enfants ont été réglés (art. 298d al. 3 CC). S’agissant de la modification de l’attribution de l’autorité parentale, la compétence matérielle se partage entre le juge et l’autorité de protection de l’enfant : pour des parents mariés ou qui l’ont été, la compétence de principe appartient au juge matrimonial (art. 134 al. 3, 2ème phr., art. 179 CC); l’autorité de protection est compétente en cas d’accord des parents ou de décès de l’un d’eux (art. 134 al. 3, 1ère phr., art. 297 al. 2 CC). Les autres droits et devoirs parentaux (notamment la garde) sont soumis aux mêmes règles, à l’exception des relations personnelles : la compétence de modification appartient ici à l’autorité de protection même en cas de différend, sauf lorsque le juge est aussi appelé à statuer sur l’autorité parentale ou sur la garde ou sur l’entretien (art. 134 al. 4 CC : exception à l’exception et retour à la compétence judiciaire par attraction de compétence). L’autorité de protection a aussi la compétence de prononcer les mesures protectrices de l’enfant (art. 309 ss CC) prises hors procédure matrimoniale (MEIER/STETTLER, Droit de la filiation, 6ème éd., 2019, n. 768 et 769). 2.1.2 Les art. 307 à 315b CC visent la protection des mineurs en danger (MEIER/STETTLER, op. cit. n. 1676). Selon l’art. 311 al. 1 CC, si d’autres mesures de protection de l’enfant sont demeurées sans résultat ou paraissent d’emblée insuffisantes, l’autorité de protection de l’enfant prononce le retrait de l’autorité parentale : lorsque, pour cause d’inexpérience, de maladie, d’infirmité, d’absence, de violence ou d’autres motifs analogues, les père et mère ne sont pas en mesure d’exercer correctement l’autorité parentale (ch. 1) ou lorsque les père et mère ne se sont pas souciés sérieusement de l’enfant ou qu’ils ont manqué gravement à leurs devoirs envers lui (ch. 2). Selon l’art. 315b al. 1 CC, le juge est compétent pour modifier les mesures judiciaires relatives à l’attribution et à la protection des enfants : dans la procédure de divorce (ch. 1), dans la procédure en modification du jugement de divorce, selon les dispositions régissant le divorce (ch. 2), dans la procédure en</w:t>
      </w:r>
    </w:p>
    <w:p>
      <w:r>
        <w:t>- 12/16 -</w:t>
      </w:r>
    </w:p>
    <w:p>
      <w:r>
        <w:t>C/11260/2012-CS modification des mesures protectrices de l’union conjugale (ch. 3). Dans les autres cas, l’autorité de protection de l’enfant est compétente (art. 315b al. 2). A la suite de la limitation des compétences du juge matrimonial pour la période postérieure au jugement, l’autorité de protection de l’enfant est seule compétente, depuis le 1er janvier 2000, dans les cas suivants : la demande de modification du jugement matrimonial ne porte que sur les mesures de protection au sens étroit (cf. art. 315b al. 2 CC) ; la question des mesures de protection de l’enfant se pose dans le cadre d’une demande de modification qui ne porte que sur la règlementation des relations personnelles prévue par le jugement (art. 134 al. 4 in fine/art. 315b al. 2 CC), de l’attribution de l’autorité parentale consécutive au décès du détenteur (art. 297 al. 2/art. 315b al. 2 CC), de l’attribution de l’autorité parentale et/ou de la contribution d’entretien qui repose sur un accord soumis à ratification (art. 134 al. 3/art. 315b al. 2 CC) (MEIER/STETTLER, op. cit. n. 1778). 2.1.3 L’autorité de protection de l’adulte prend, d’office ou à la demande d’une personne partie à la procédure, toutes les mesures provisionnelles nécessaires pendant la durée de la procédure (art. 445 al. 1 CC, applicable aux procédures concernant les mineurs par le biais de l’art. 314 al. 1 CC). 2.2.1 En l’espèce, la situation des parties était régie par le jugement de divorce du 23 novembre 2015, lequel a maintenu l’autorité parentale conjointe des deux parents sur leur fille, attribué à la mère la garde de l’enfant et réservé au père un droit de visite devant s’exercer, à défaut d’entente entre les parties, à raison d’un week-end sur deux du vendredi soir au lundi matin, ainsi que durant la moitié des vacances scolaires. Le Tribunal de protection a été saisi le 7 décembre 2020 par B______ d’une question ponctuelle, portant sur l’instruction religieuse de la mineure et son baptême, les parents ne parvenant pas à s’entendre. A l’époque et selon ce qui ressort de la procédure, la mineure se portait bien, en dépit de l’important problème de communication entre les parents qui perdurait et le droit de visite du père était régulièrement exercé. Par ordonnance du 19 janvier 2021, le Tribunal de protection a instauré des mesures de protection en faveur de l’enfant, soit une curatelle de surveillance des relations personnelles, ainsi qu’une curatelle d’assistance éducative; il a également ordonné aux parents de mettre en place une thérapie familiale. Dans une seconde ordonnance du 23 avril 2021, il a autorisé le baptême de l’enfant, puis a ouvert une instruction portant sur le maintien de l’autorité parentale conjointe, ordonnant une expertise psychiatrique de la famille. Or, conformément à la doctrine citée sous considérant 2.1.1 ci-dessus et s’agissant de la modification de l’attribution de l’autorité parentale, l’autorité de</w:t>
      </w:r>
    </w:p>
    <w:p>
      <w:r>
        <w:t>- 13/16 -</w:t>
      </w:r>
    </w:p>
    <w:p>
      <w:r>
        <w:t>C/11260/2012-CS protection n’est compétente qu’en cas d’accord des parents ou de décès de l’un deux, cas non pertinents en l’espèce. Le Tribunal de protection est certes compétent, lorsqu’un mineur est en danger, pour retirer l’autorité parentale, aux conditions très strictes de l’art. 311 CC. Dans le cas d’espèce toutefois et selon la compréhension de la Chambre de surveillance, il s’agissait de revoir le maintien de l’autorité parentale tel que fixé dans le jugement de divorce et non de prononcer, le cas échéant, une mesure de retrait de celle-ci fondée sur l’art. 311 CC. Dès lors, la compétence du Tribunal de protection pour statuer sur cette question est douteuse; elle ne fait toutefois pas l’objet de la décision attaquée, de sorte qu’elle ne sera pas examinée plus avant. 2.2.2 L’ordonnance objet de la présente décision est celle rendue à titre provisionnel le 17 novembre 2023, qui a notamment modifié le droit aux relations personnelles entre la mineure et son père, tel que fixé par le jugement de divorce. Le recourant a contesté la compétence du Tribunal de protection pour se prononcer sur cette question, au motif qu’une procédure, qu’il avait initiée devant le Tribunal de première instance, était pendante devant la Cour de justice. Cette argumentation ne saurait être suivie. En effet, au moment où l’ordonnance litigieuse a été rendue, le recourant avait d’ores et déjà retiré, par courrier du 30 août 2023, l’appel qu’il avait formé auprès de la Cour contre le jugement du Tribunal de première instance du 30 janvier 2023 qui l’avait débouté de ses conclusions en modification du jugement de divorce. L’arrêt ayant donné acte au recourant du retrait de son recours n’a certes été rendu que le 13 novembre 2023 en raison du fait que les parties s’étaient préalablement opposées sur la question des dépens. Quoiqu’il en soit, au moment du prononcé, par le Tribunal de protection, de l’ordonnance litigieuse, plus aucune procédure n’était pendante entre les parties devant le Tribunal de première instance ou la Cour de justice. Cela étant, la Chambre de surveillance relève qu’aucune des parties n’avait formellement sollicité auprès du Tribunal de protection la modification du droit de visite du recourant. Le Tribunal de protection a certes la compétence de modifier les relations personnelles fixées par le juge du divorce, même en cas de différend entre les parties. Encore faut-il, pour qu’il soit fondé à prononcer des mesures provisionnelles, que celles-ci soient nécessaires, au sens de l’art. 445 al. 1 CC. Or, tel n’était pas le cas en l’espèce. Jusqu’au mois d’avril 2023, le droit de visite du recourant sur sa fille F______ était exercé régulièrement, à raison d’un week-end sur deux du vendredi au lundi matin. Entendue par le Tribunal de protection le 25 avril 2022, l’enfant avait déclaré qu’elle aimait bien se rendre chez son père, même si celui-ci lui adressait trop souvent des reproches; elle aurait également souhaité davantage de flexibilité dans l’organisation des week-ends. La mineure avait également</w:t>
      </w:r>
    </w:p>
    <w:p>
      <w:r>
        <w:t>- 14/16 -</w:t>
      </w:r>
    </w:p>
    <w:p>
      <w:r>
        <w:t>C/11260/2012-CS déclaré aux expertes, lors de la procédure en complément d’expertise, ne pas souhaiter changer le rythme des visites et avait réitéré son souhait que les week- ends soient organisés avec plus de flexibilité. La situation s’est toutefois compliquée lorsqu’il a été question, apparemment sur l’initiative des expertes, d’élargir le droit de visite du père au lundi toute la journée, soirée comprise. Père et fille ont, chacun, mal réagi aux propos de l’autre, ce qui a conduit à l’interruption des visites, la situation étant désormais bloquée depuis le mois d’avril 2023. Depuis lors, père et fille n’ont plus eu que des contacts téléphoniques et ont partagé un seul repas au mois d’octobre 2023. Il résulte de ce qui précède que certes, le droit de visite tel que fixé par le Tribunal de première instance n’était plus exercé depuis plusieurs mois lorsque l’ordonnance litigieuse a été rendue. Le recourant ne manifestait toutefois pas l’intention de contraindre sa fille à s’y soumettre, de sorte qu’il n’y avait aucune nécessité de modifier le droit de visite sur mesures provisionnelles. Par ailleurs, l’ordonnance rendue, en tant qu’elle fait reposer sur les épaules de la mineure la responsabilité d’entretenir, ou pas, des relations personnelles avec son père, apparaît inadéquate. Depuis son plus jeune âge, F______ est en effet confrontée à la mésentente de ses parents et est l’otage et l’enjeu de leur conflit. L’ordonnance attaquée la place par conséquent dans une situation particulièrement inconfortable, puisqu’il lui appartiendra de fixer les relations avec son père en accord avec ce dernier, alors même qu’elle n’entretient plus avec lui que des contacts épisodiques et ce depuis plus d’une année désormais. Rien ne permet par conséquent de retenir que le chiffre 1 du dispositif de l’ordonnance litigieuse permettra d’améliorer les relations entre le recourant et sa fille, bien au contraire. Il n’y a dès lors aucune nécessité de modifier les modalités du droit de visite préexistantes, leur maintien étant plutôt de nature à favoriser une reprise des relations père-fille. Au vu de ce qui précède, le chiffre 1 du dispositif de l’ordonnance attaquée sera annulé. Les autres chiffres de ce dispositif, non contestés, peuvent être confirmés, bien qu’ils ne fassent, s’agissant des chiffres 2 et 3, que confirmer des mesures déjà existantes. Il appartiendra aux parents, dans l’intérêt bien compris de leur fille, de mettre de côté leurs querelles personnelles, qui perdurent depuis plus de dix ans, afin de permettre à F______ d’entretenir avec chacun d’eux les relations harmonieuses auxquelles elle a droit. Le suivi thérapeutique de l’enfant, dont les parents ont été encouragés à autoriser la poursuite (chiffre 4 du dispositif de l’ordonnance attaquée), de même que les diverses curatelles dont elle bénéficie, devraient l’aider à renouer avec son père, ce dernier étant pour sa part invité à modifier son</w:t>
      </w:r>
    </w:p>
    <w:p>
      <w:r>
        <w:t>- 15/16 -</w:t>
      </w:r>
    </w:p>
    <w:p>
      <w:r>
        <w:t>C/11260/2012-CS comportement en gardant à l’esprit le fait que sa fille ne porte aucune responsabilité dans la situation actuelle, dont elle n’est que la victime.</w:t>
      </w:r>
    </w:p>
    <w:p>
      <w:r>
        <w:rPr>
          <w:b/>
        </w:rPr>
        <w:t>E. 3</w:t>
      </w:r>
    </w:p>
    <w:p>
      <w:r>
        <w:t>La procédure, qui porte sur les relations personnelles, n’est pas gratuite. Les frais judiciaires de la procédure, arrêtés à 400 fr., seront laissés à la charge de l’Etat, vu l’issue du recours. L’avance de frais versée par le recourant lui sera par conséquent restituée. Vu la nature familiale du litige, il ne sera pas alloué de dépens (art. 107 al. 1 let. c CPC). * * * * *</w:t>
      </w:r>
    </w:p>
    <w:p>
      <w:r>
        <w:t>- 16/16 -</w:t>
      </w:r>
    </w:p>
    <w:p>
      <w:r>
        <w:t>C/11260/2012-CS</w:t>
      </w:r>
    </w:p>
    <w:p>
      <w:r>
        <w:t>PAR CES MOTIFS, La Chambre de surveillance : A la forme : Déclare recevable le recours interjeté par A______ contre l'ordonnance DTAE/9987/2023 rendue le 17 novembre 2023 par le Tribunal de protection de l'adulte et de l'enfant dans la cause C/11260/2012. Au fond : Annule le chiffre 1 du dispositif de l’ordonnance attaquée. La confirme pour le surplus. Déboute les parties de toutes autres conclusions. Sur les frais : Arrête les frais judiciaires de la procédure de recours à 400 fr. et les laisse à la charge de l’Etat. Invite en conséquence les Services financiers du Pouvoir judiciaire à restituer à A______ son avance de frais en 400 fr. Dit qu’il n’y a pas lieu à l’allocation de dépens. Siégeant : Monsieur Cédric-Laurent MICHEL, président; Madame Paola CAMPOMAGNANI et Madame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