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DAS/123/2014 vom 11. März 2014</w:t>
      </w:r>
    </w:p>
    <w:p>
      <w:r>
        <w:t>GE Cour de justice, 2014-03-11, FR</w:t>
      </w:r>
    </w:p>
    <w:p>
      <w:r>
        <w:rPr>
          <w:b/>
        </w:rPr>
        <w:t xml:space="preserve">Quelle: </w:t>
      </w:r>
      <w:r>
        <w:t>https://mcp.opencaselaw.ch/entscheid/ge_gerichte_DAS_123_2014</w:t>
      </w:r>
    </w:p>
    <w:p>
      <w:r>
        <w:t>FR: GE_GERICHTE DAS/123/2014 du 11 mars 2014</w:t>
      </w:r>
    </w:p>
    <w:p>
      <w:r>
        <w:t>IT: GE_GERICHTE DAS/123/2014 del 11 marzo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conteste la mesure de placement à des fins d'assistance dont il fait l'objet. Il fait valoir qu'il pourrait suivre un traitement à l'extérieur.</w:t>
      </w:r>
    </w:p>
    <w:p>
      <w:r>
        <w:rPr>
          <w:b/>
        </w:rPr>
        <w:t>E. 2.1</w:t>
      </w:r>
    </w:p>
    <w:p>
      <w:r>
        <w:t>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("Schwächezustand ") au sens de l'art. 426 al. 1 CC, à savoir un</w:t>
      </w:r>
    </w:p>
    <w:p>
      <w:r>
        <w:t>- 8/10 -</w:t>
      </w:r>
    </w:p>
    <w:p>
      <w:r>
        <w:t>C/26692/2004-CS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consid. 6.2.3).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ATF 140 III 101 consid. 6.2.3). Enfin, l'autorité doit expliquer pour quelles raisons elle considère l'institution proposée comme "appropriée" (geeignet; idoneo; ATF 140 III 101 consid. 6.2.3).</w:t>
      </w:r>
    </w:p>
    <w:p>
      <w:r>
        <w:rPr>
          <w:b/>
        </w:rPr>
        <w:t>E. 2.2</w:t>
      </w:r>
    </w:p>
    <w:p>
      <w:r>
        <w:t>En l'espèce, il ressort de l’expertise du 17 mars 2014 que le recourant présente des symptômes de schizophrénie paranoïde. La doctoresse qui le suit a en outre expliqué que ce dernier présente des idées délirantes envahissantes, un sentiment de culpabilité et un risque auto-agressif. Dès lors que le recourant présente un risque suicidaire, des mesures de protection doivent être prises afin d’éviter que ce risque ne se réalise. L’état du recourant est, certes, actuellement stabilisé, mais cela résulte du suivi thérapeutique dont il bénéficie en milieu hospitalier. Le recourant, qui n'allègue pas qu'il pourrait s'abstenir de suivre un traitement s'il sortait, explique toutefois qu'il prendrait un autre médicament que celui qu'il prend actuellement. Or, selon la Doctoresse B______, celui-ci n'est pas indiqué dans son cas. Il y a dès lors un risque que si la mesure est levée, le recourant cesse de prendre le traitement qui, même s'il peut entraîner des effets secondaires, est néanmoins considéré comme le plus adéquat et que son état, actuellement stabilisé, se détériore. Un traitement ambulatoire est en outre exclu dans la mesure où il ressort de la procédure que le recourant n'a jamais accepté un traitement médicamenteux de manière suffisamment régulière pour pouvoir bénéficier des effets positifs qui en résultent et que les différents programmes ambulatoires tentés dans le but d'améliorer sa compliance se sont soldés par des échecs.</w:t>
      </w:r>
    </w:p>
    <w:p>
      <w:r>
        <w:t>- 9/10 -</w:t>
      </w:r>
    </w:p>
    <w:p>
      <w:r>
        <w:t>C/26692/2004-CS Enfin, le placement dans un milieu hospitalier permettra de s'assurer que le recourant suive son traitement. Il doit se dérouler d’abord dans une unité de crise puis, à terme, dans une unité de réhabilitation. Il s'inscrit ainsi dans le cadre d'un traitement qui doit amener le recourant à sortir du milieu hospitalier. Ainsi, au vu des considérations qui précèdent, il doit être considéré que les conditions posées par l'art. 426 CC sont réunies. Le recours, infondé, sera dès lors rejeté.</w:t>
      </w:r>
    </w:p>
    <w:p>
      <w:r>
        <w:rPr>
          <w:b/>
        </w:rPr>
        <w:t>E. 3</w:t>
      </w:r>
    </w:p>
    <w:p>
      <w:r>
        <w:t>La procédure est gratuite (art. 22 al. 4 LaCC).</w:t>
      </w:r>
    </w:p>
    <w:p>
      <w:r>
        <w:rPr>
          <w:b/>
        </w:rPr>
        <w:t>E. 4</w:t>
      </w:r>
    </w:p>
    <w:p>
      <w:r>
        <w:t>La présente décision est susceptible d'un recours en matière civile au Tribunal fédéral (art. 72 al. 2 let. b ch. 6 LTF). * * * * *</w:t>
      </w:r>
    </w:p>
    <w:p>
      <w:r>
        <w:t>- 10/10 -</w:t>
      </w:r>
    </w:p>
    <w:p>
      <w:r>
        <w:t>C/26692/2004-CS PAR CES MOTIFS, La Chambre de surveillance : A la forme : Déclare recevable le recours formé par A______ contre l'ordonnance DTAE/3031/2014 rendue par le Tribunal de protection de l'adulte et de l'enfant le 24 juin 2014 dans la cause C/26692/2004-5. Au fond : Rejette ce recours. Déboute A______ de toutes autres conclusions. Dit que la procédure est gratuite. Siégeant : Monsieur Laurent RIEBEN,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