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DAS/120/2014 vom 20. April 2012</w:t>
      </w:r>
    </w:p>
    <w:p>
      <w:r>
        <w:t>GE Cour de justice, 2012-04-20, FR</w:t>
      </w:r>
    </w:p>
    <w:p>
      <w:r>
        <w:rPr>
          <w:b/>
        </w:rPr>
        <w:t xml:space="preserve">Quelle: </w:t>
      </w:r>
      <w:r>
        <w:t>https://mcp.opencaselaw.ch/entscheid/ge_gerichte_DAS_120_2014</w:t>
      </w:r>
    </w:p>
    <w:p>
      <w:r>
        <w:t>FR: GE_GERICHTE DAS/120/2014 du 20 avril 2012</w:t>
      </w:r>
    </w:p>
    <w:p>
      <w:r>
        <w:t>IT: GE_GERICHTE DAS/120/2014 del 20 aprile 2012</w:t>
      </w:r>
    </w:p>
    <w:p>
      <w:pPr>
        <w:pStyle w:val="Heading2"/>
      </w:pPr>
      <w:r>
        <w:t>Erwägungen</w:t>
      </w:r>
    </w:p>
    <w:p>
      <w:r>
        <w:rPr>
          <w:b/>
        </w:rPr>
        <w:t>E. 1</w:t>
      </w:r>
    </w:p>
    <w:p>
      <w:r>
        <w:t>Les nouvelles dispositions sur les mesures prises par l'autorité dans le domaine de la protection de l'adulte et de l'enfant, introduites par la révision du 19 décembre 2008 et d'application immédiate (art. 14 Titre final CC), sont entrées en force le 1er janvier 2013. Il en est de même des dispositions d'exécution cantonales y relatives.</w:t>
      </w:r>
    </w:p>
    <w:p>
      <w:r>
        <w:t>- 8/11 -</w:t>
      </w:r>
    </w:p>
    <w:p>
      <w:r>
        <w:t>C/28180/2007-CS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les recours sont recevables. Par mesure d'économie de procédure, les deux recours seront traités dans la même décision (art. 125 CPC, applicable par renvoi de l'art. 31 al. let. d LaCC). Compte tenu de la matière, soumise aux maximes inquisitoire et d'office illimitées, la cognition de la Chambre de céans est complète. La Cour n'est pas liée par les conclusions des parties (art. 446 CC; art. 314 al. 1 et 440 al. 3 CC).</w:t>
      </w:r>
    </w:p>
    <w:p>
      <w:r>
        <w:rPr>
          <w:b/>
        </w:rPr>
        <w:t>E. 2</w:t>
      </w:r>
    </w:p>
    <w:p>
      <w:r>
        <w:t>La recourante s'oppose au retrait du droit de garde. L'intimé s'en rapporte à justice.</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w:t>
      </w:r>
    </w:p>
    <w:p>
      <w:r>
        <w:rPr>
          <w:b/>
        </w:rPr>
        <w:t>E. 2.2</w:t>
      </w:r>
    </w:p>
    <w:p>
      <w:r>
        <w:t>En l'espèce, il ressort clairement de la procédure que les enfants du couple ont été confrontés à de multiples reprises ces dernières années à des violences physiques et psychologiques entre les parents. Selon le Service de protection des mineurs, cette exposition était presque continuelle et les engagements successifs des deux parents de cesser toute violence ou de se séparer n'ont jamais été suivis d'effets durables.</w:t>
      </w:r>
    </w:p>
    <w:p>
      <w:r>
        <w:t>- 9/11 -</w:t>
      </w:r>
    </w:p>
    <w:p>
      <w:r>
        <w:t>C/28180/2007-CS Il apparaît ainsi établi que les parents, qui reconnaissent d'ailleurs l'existence d'un climat de violence (cf. procès-verbal de comparution personnelle du 18 juin 2014), n'ont pas adopté ces dernières années un comportement adéquat. En retenant qu'il était indispensable de protéger les enfants de ces violences afin qu'ils puissent évoluer dans un milieu sécure, et en ordonnant en conséquence un retrait de garde des trois enfants mineurs, le Tribunal de protection a fait une application correcte de l'art. 310 CC. La mesure de retrait de garde sera donc confirmée. Certes, la situation a évolué en ce sens qu'il semble que les parents n'aient plus dorénavant l'intention de revivre ensemble. D'autre part, sur certains points, la recourante a de bonnes capacités parentales. Elle indique enfin suivre une thérapie. Il n'est donc pas exclu qu'il soit possible de prévoir à moyen terme un retour des enfants au domicile de leur mère. Le Service de protection des mineurs a préconisé une expertise psychiatrique familiale, laquelle – si elle est ordonnée – devrait renseigner utilement sur les mesures les plus adéquates à prendre pour les enfants. Mais en l'état, il est dans l'intérêt des enfants de maintenir leur placement. Le lieu du placement des deux aînés pourra être situé dans le canton de Genève dès la rentrée scolaire d'août 2014, comme le préconise le Service de protection des mineurs. Pour la cadette, le placement au Foyer PICCOLO paraît adéquat.</w:t>
      </w:r>
    </w:p>
    <w:p>
      <w:r>
        <w:rPr>
          <w:b/>
        </w:rPr>
        <w:t>E. 3</w:t>
      </w:r>
    </w:p>
    <w:p>
      <w:r>
        <w:t>La recourante sollicite que les modalités du droit de visite fixées par l'ordonnance du 4 avril 2014 soient maintenues. L'intimée s'en rapporte à justice.</w:t>
      </w:r>
    </w:p>
    <w:p>
      <w:r>
        <w:rPr>
          <w:b/>
        </w:rPr>
        <w:t>E. 3.1</w:t>
      </w:r>
    </w:p>
    <w:p>
      <w:r>
        <w:t>Le père ou la mère qui ne détient pas l'autorité parentale ou la garde sur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w:t>
      </w:r>
    </w:p>
    <w:p>
      <w:r>
        <w:t>- 10/11 -</w:t>
      </w:r>
    </w:p>
    <w:p>
      <w:r>
        <w:t>C/28180/2007-CS consid. 3c; 122 III 404 consid. 3a et les références citées; arrêt du Tribunal fédéral 5A_120/2013 du 23 mai 2013 consid. 2.1.2).</w:t>
      </w:r>
    </w:p>
    <w:p>
      <w:r>
        <w:rPr>
          <w:b/>
        </w:rPr>
        <w:t>E. 3.2</w:t>
      </w:r>
    </w:p>
    <w:p>
      <w:r>
        <w:t>En l'espèce, le droit de visite a été modifié le 17 avril 2014 par le Tribunal de protection en raison du fait que, selon un courrier du Service de protection des mineurs du 16 avril 2014, B______ était de retour au domicile de A______. Il convenait par conséquent d'éviter que les mineurs ne soient mis en présence de leurs deux parents en même temps. La solution retenue, à savoir que le droit de visite de A______ s'exerce chaque semaine du vendredi soir à 17 heures 30 au samedi soir à 17 heures 30, et celui de B______ chaque semaine du samedi soir à 18 heures au dimanche soir à 18 heures, à chaque fois dans une villa attenante au Foyer de G______, a pour avantage de préserver les mineurs du conflit de leurs parents tout en leur permettant de partager des moments privilégiés avec chacun d'eux. Lors de l'audience de comparution personnelle du 18 juin 2014, les parents ont indiqué qu'ils exerçaient le droit de visite conformément aux modalités de l'ordonnance du 17 avril 2014 et que le droit de visite se déroulait en règle générale correctement. En définitive, il apparaît que la solution retenue par le Tribunal de protection dans son ordonnance du 17 avril 2014 correspond à l'intérêt des enfants. Elle sera donc confirmée. D'autre part, à l'instar du retrait de garde, les modalités du droit de visite sont susceptibles d'être modifiées par le Tribunal de protection, en fonction de l'évolution de la situation des parents et du lieu de placement des enfants.</w:t>
      </w:r>
    </w:p>
    <w:p>
      <w:r>
        <w:rPr>
          <w:b/>
        </w:rPr>
        <w:t>E. 4</w:t>
      </w:r>
    </w:p>
    <w:p>
      <w:r>
        <w:t>Infondés, les deux recours seront rejetés. Les décisions querellées seront confirmées, étant précisé que les autres mesures prévues dans l'ordonnance du 4 avril 2014 n'ont pas été contestées.</w:t>
      </w:r>
    </w:p>
    <w:p>
      <w:r>
        <w:rPr>
          <w:b/>
        </w:rPr>
        <w:t>E. 5</w:t>
      </w:r>
    </w:p>
    <w:p>
      <w:r>
        <w:t>La première décision querellée (DTAE/1770/2014) s'inscrivant dans une procédure tendant au prononcé d'un retrait de l'autorité parente et/ou de la garde, à savoir d'une mesure de protection de l'enfant, la procédure de recours est gratuite (art. 81 al. 1 LaCC). La procédure n'est en revanche pas gratuite en matière de relations personnelles (art. 77 LaCC). Les frais de la procédure, arrêtés à 300 fr., seront mis à la charge de la recourante qui succombe. Celle-ci ayant été mise au bénéfice de l'assistance judiciaire sera donc provisoirement dispensée d'acquitter 300 fr. * * * * *</w:t>
      </w:r>
    </w:p>
    <w:p>
      <w:r>
        <w:t>- 11/11 -</w:t>
      </w:r>
    </w:p>
    <w:p>
      <w:r>
        <w:t>C/28180/2007-CS PAR CES MOTIFS, La Chambre de surveillance : À la forme : Déclare recevables les recours interjetés par A______ contre l'ordonnance DTAE/1770/2014 rendue le 4 avril 2014 et l'ordonnance DTAE/1929/2014 rendue le 17 avril 2014 par le Tribunal de protection de l'adulte et de l'enfant dans la cause C/28180/2007-7. Au fond : Rejette les recours et confirme les décisions entreprises. Déboute les parties de toutes autres conclusions. Sur les frais : Arrête les frais judiciaires à 300 fr. et les met à la charge de A______. La dispense provisoirement du paiement de ces frais dès lors qu'elle plaide au bénéfice de l'assistance juridique. Dit qu'il n'y a pas lieu à 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