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DAS/11/2023 vom 22. Juli 2022</w:t>
      </w:r>
    </w:p>
    <w:p>
      <w:r>
        <w:t>GE Cour de justice, 2022-07-22, FR</w:t>
      </w:r>
    </w:p>
    <w:p>
      <w:r>
        <w:rPr>
          <w:b/>
        </w:rPr>
        <w:t xml:space="preserve">Quelle: </w:t>
      </w:r>
      <w:r>
        <w:t>https://mcp.opencaselaw.ch/entscheid/ge_gerichte_DAS_11_2023</w:t>
      </w:r>
    </w:p>
    <w:p>
      <w:r>
        <w:t>FR: GE_GERICHTE DAS/11/2023 du 22 juillet 2022</w:t>
      </w:r>
    </w:p>
    <w:p>
      <w:r>
        <w:t>IT: GE_GERICHTE DAS/11/2023 del 22 luglio 2022</w:t>
      </w:r>
    </w:p>
    <w:p>
      <w:pPr>
        <w:pStyle w:val="Heading2"/>
      </w:pPr>
      <w:r>
        <w:t>Erwägungen</w:t>
      </w:r>
    </w:p>
    <w:p>
      <w:r>
        <w:rPr>
          <w:b/>
        </w:rPr>
        <w:t>E. 1</w:t>
      </w:r>
    </w:p>
    <w:p>
      <w:r>
        <w:t>Les dispositions de la procédure devant l'autorité de protection de l'adulte sont applicables par analogie aux mesures de protection de l'enfant (art. 314 al. 1 CC). Les décisions de l'autorité de protection rendues sur mesures provisionnelles peuvent faire l'objet d'un recours auprès de la Chambre de surveillance de la Cour de justice (art. 445 al. 3 et 450 al. 1 CC; art. 53 al. 1 LaCC) dans un délai de dix jours à compter de leur notification (art. 445 al. 3 CC). Le recours doit être dûment motivé (art. 450 al. 3 CC).</w:t>
      </w:r>
    </w:p>
    <w:p>
      <w:r>
        <w:rPr>
          <w:b/>
        </w:rPr>
        <w:t>E. 2</w:t>
      </w:r>
    </w:p>
    <w:p>
      <w:r>
        <w:t>Lorsque l'intérêt au recours disparaît en cours de procédure, le litige est déclaré sans objet et la cause est rayée du rôle (art. 242 CPC; ATF 136 III 497 consid. 2.1; arrêt du Tribunal fédéral 5A_717/202 consid. 4.1.1.3).</w:t>
      </w:r>
    </w:p>
    <w:p>
      <w:r>
        <w:rPr>
          <w:b/>
        </w:rPr>
        <w:t>E. 3.1</w:t>
      </w:r>
    </w:p>
    <w:p>
      <w:r>
        <w:t>En l'espèce, le recours a été formé par la mère de la mineure concernée auprès de l'autorité compétente dans le délai prescrit.</w:t>
      </w:r>
    </w:p>
    <w:p>
      <w:r>
        <w:rPr>
          <w:b/>
        </w:rPr>
        <w:t>E. 3.2</w:t>
      </w:r>
    </w:p>
    <w:p>
      <w:r>
        <w:t>L'acte de recours répond aux exigences de motivation en tant qu'il est formé contre les chiffres 6, 9, 10, 12 et 16 du dispositif de l'ordonnance querellée, dans la mesure où la recourante critique le placement de sa fille en foyer, la suspension des relations personnelles entre elle-même et sa fille, la réserve d'un droit de visite au père de cette dernière, la curatelle de représentation dans le domaine médical et la limitation de l'autorité parentale en découlant. Le recours est ainsi recevable dans cette mesure. La recourante n'a en revanche plus d'intérêt à l'annulation de ces chiffres 6, 9, 10, 12 et 16 du dispositif de l'ordonnance attaquée, puisque les mesures adoptées ont été levées par le Tribunal de protection dans ses décisions rendues les 12 août, 12 septembre et 21 novembre 2022. Le placement de la mineure en foyer (ch. 6 de l'ordonnance attaquée) a ainsi été levé et son placement auprès de la recourante ordonné par décision du 21 novembre 2022 (ch. 2 et 3 du dispositif). La suspension des relations personnelles entre la mineure et la recourante (ch. 9 de l'ordonnance attaquée) a été levée lorsqu'un droit de visite a été octroyé à celle-ci par ordonnance du 12 septembre 2022 (ch. 4 du dispositif) et que la mineure a été placée auprès de sa mère dès le 21 novembre 2022. Le droit de visite réservé au père (ch. 10 du dispositif de l'ordonnance querellée) a été suspendu par ordonnance du 12 septembre 2022 (ch. 5 du dispositif). La curatelle de représentation de la mineure dans le domaine médical instaurée au chiffre 12 du dispositif de l'ordonnance entreprise a été levée par ordonnance du 21 novembre 2022 (ch. 10 du dispositif). Il en va de même de la limitation de l'autorité parentale consécutive aux curatelles instituées dans le cadre de l'ordonnance</w:t>
      </w:r>
    </w:p>
    <w:p>
      <w:r>
        <w:t>- 6/7 -</w:t>
      </w:r>
    </w:p>
    <w:p>
      <w:r>
        <w:t>C/13097/2020-CS attaquée (ch. 16 de l'ordonnance querellée), qui a levée le 21 novembre 2022 (ch. 14 du dispositif).</w:t>
      </w:r>
    </w:p>
    <w:p>
      <w:r>
        <w:t>Le recours formé n'a en conséquence plus d'objet en tant qu'il est dirigé contre les chiffres 6, 9, 10, 12 et 16 de l'ordonnance entreprise.</w:t>
      </w:r>
    </w:p>
    <w:p>
      <w:r>
        <w:rPr>
          <w:b/>
        </w:rPr>
        <w:t>E. 3.3</w:t>
      </w:r>
    </w:p>
    <w:p>
      <w:r>
        <w:t>En tant qu'il est dirigé contre le chiffre 4 du dispositif de l'ordonnance entreprise, ordonnant le retrait de la garde et du droit de déterminer le lieu de résidence de l'enfant à la recourante, le recours ne contient aucun grief ni aucune critique de la décision entreprise. Il ne répond ainsi pas aux exigences minimales de motivation prescrites par l'art. 450 al. 3 CC, la recourante n'énonçant pas en quoi le Tribunal de protection aurait erré dans l'établissement des faits ou dans l'application du droit. Le recours est en conséquence irrecevable à cet égard.</w:t>
      </w:r>
    </w:p>
    <w:p>
      <w:r>
        <w:rPr>
          <w:b/>
        </w:rPr>
        <w:t>E. 4</w:t>
      </w:r>
    </w:p>
    <w:p>
      <w:r>
        <w:t>En définitive, le recours n'est pas recevable en ce qu'il tend à l'annulation du chiffre 4 du dispositif de l'ordonnance attaquée, et il n'a plus d'objet en tant qu'il est dirigé contre les chiffres 6, 9, 10, 12 et 16 de cette ordonnance.</w:t>
      </w:r>
    </w:p>
    <w:p>
      <w:r>
        <w:rPr>
          <w:b/>
        </w:rPr>
        <w:t>E. 5</w:t>
      </w:r>
    </w:p>
    <w:p>
      <w:r>
        <w:t>juillet 2022 par le Tribunal de protection de l'adulte et de l'enfant dans la cause C/13097/2020. Le déclare irrecevable pour le surplus. Au fond : Constate que le recours, dans la mesure de sa recevabilité, n'a plus d'objet. Raye la cause du rôle. Dit que la procédure est gratuite. Siégeant : Monsieur Cédric-Laurent MICHEL, président; Mesdames Paola CAMPOMAGNANI et Ursula ZEHETBAUER GHAVAMI,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