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DAS/11/2021 vom 22. Juli 2013</w:t>
      </w:r>
    </w:p>
    <w:p>
      <w:r>
        <w:t>GE Cour de justice, 2013-07-22, FR</w:t>
      </w:r>
    </w:p>
    <w:p>
      <w:r>
        <w:rPr>
          <w:b/>
        </w:rPr>
        <w:t xml:space="preserve">Quelle: </w:t>
      </w:r>
      <w:r>
        <w:t>https://mcp.opencaselaw.ch/entscheid/ge_gerichte_DAS_11_2021</w:t>
      </w:r>
    </w:p>
    <w:p>
      <w:r>
        <w:t>FR: GE_GERICHTE DAS/11/2021 du 22 juillet 2013</w:t>
      </w:r>
    </w:p>
    <w:p>
      <w:r>
        <w:t>IT: GE_GERICHTE DAS/11/2021 del 22 luglio 2013</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dix jours à compter de leur notification en cas de prononcé de mesures provisionnelles (art. 445 al. 3 CC). Le recours doit être dûment motivé et interjeté par écrit auprès du juge (art. 450 al. 3 CC). Interjeté par la grand-mère maternelle de l'enfant, auprès de laquelle ce dernier vivait avant d'être placé en foyer,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w:t>
      </w:r>
    </w:p>
    <w:p>
      <w:r>
        <w:t>- 8/10 -</w:t>
      </w:r>
    </w:p>
    <w:p>
      <w:r>
        <w:t>C/1637/2013 2.2.1 En l'espèce, la recourante reproche au Tribunal de protection d'avoir statué le 8 octobre 2020, sans avoir attendu de connaître ses déterminations, alors qu'il lui avait imparti un délai au 26 octobre 2020 pour se prononcer. Le grief ainsi soulevé atteste d'une évidente mauvaise compréhension de la procédure par la recourante. En effet, au terme de l'audience du 9 septembre 2020, le Tribunal de protection a imparti à A______ un délai au 26 octobre 2020 pour lui faire parvenir ses conclusions finales et a manifesté l'intention de convoquer une nouvelle audience, ce qui impliquait que la procédure devait se poursuivre sur le fond. Or, la décision du 8 octobre 2020, qui fait l'objet du présent recours, a, comme l'indique son intitulé, été rendue sur mesures provisionnelles, étant rappelé que le délai au 26 octobre 2020 imparti à la recourante portait quant à lui sur le dépôt de conclusions sur le fond, par conséquent en lien avec la décision rendue par le Tribunal de protection le 9 décembre 2020. Au vu de ce qui précède, le grief soulevé par la recourante est infondé, étant relevé que son erreur, alors qu'elle agit en personne, peut s'expliquer par le manque de lisibilité de la procédure, étant précisé que l'ordonnance du 8 octobre 2020 faisait directement suite à la décision DAS/150/2020 du 24 septembre 2020, rendue postérieurement à l'audience du 9 septembre 2020, au cours de laquelle le Tribunal de protection n'a traité que du fond. De surcroît, la formulation même du dispositif de l'ordonnance attaquée paraît curieuse, ce qui rajoute à la confusion. En effet, il ressort des considérants de cette ordonnance que le Tribunal de protection entendait donner suite à l'injonction contenue dans la décision DAS/150/2020 du 24 septembre 2020, par laquelle la Chambre de surveillance l'avait invité à rendre sans délai une décision faisant suite à son ordonnance DTAE/2415/2020 du 14 mai 2020 sur mesures superprovisionnelles. Le Tribunal de protection aurait dès lors simplement dû confirmer ou infirmer ladite décision, qui portait essentiellement sur le placement du mineur, les parties ayant eu, depuis lors, l'occasion de se prononcer sur ce point. Il y a toutefois lieu d'interpréter le dispositif de l'ordonnance attaquée à la lumière des considérants de celle-ci, dont il ressort que l'intention du Tribunal de protection était effectivement, sur mesures provisionnelles, de confirmer la mesure de placement, indépendamment des termes utilisés dans le dispositif, étant relevé que le rejet d'un recours relève en principe d'une décision au fond et non sur mesures provisionnelles. Pour le surplus, l'ordonnance litigieuse n'a désormais plus de véritable portée, dans la mesure où, depuis lors, le Tribunal de protection a rendu une décision sur le fond. Au vu de ce qui précède, le recours sera rejeté. 2.2.2 La Chambre de surveillance rappellera enfin à la recourante qu'elle n'est pas compétente pour statuer sur les demandes de récusation d'un magistrat du Tribunal de protection.</w:t>
      </w:r>
    </w:p>
    <w:p>
      <w:r>
        <w:t>- 9/10 -</w:t>
      </w:r>
    </w:p>
    <w:p>
      <w:r>
        <w:t>C/1637/2013</w:t>
      </w:r>
    </w:p>
    <w:p>
      <w:r>
        <w:rPr>
          <w:b/>
        </w:rPr>
        <w:t>E. 3</w:t>
      </w:r>
    </w:p>
    <w:p>
      <w:r>
        <w:t>La procédure, qui vise pour l'essentiel des mesures de protection de l'enfant, est gratuite (art. 81 LaCC).</w:t>
      </w:r>
    </w:p>
    <w:p>
      <w:r>
        <w:t>L'avance de frais versée par la recourante lui sera par conséquent restituée. * * * * *</w:t>
      </w:r>
    </w:p>
    <w:p>
      <w:r>
        <w:t>- 10/10 -</w:t>
      </w:r>
    </w:p>
    <w:p>
      <w:r>
        <w:t>C/1637/2013 PAR CES MOTIFS, La Chambre de surveillance : A la forme : Déclare recevable le recours interjeté par A______ contre l'ordonnance DTAE/5738/2020 rendue le 8 octobre 2020 par le Tribunal de protection de l'adulte et de l'enfant dans la cause C/1637/2013. Au fond : Le rejette. Dit que la procédure est gratuite. Invite en conséquence les Services financiers du Pouvoir judiciaire à restituer à A______ son avance de frais en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