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DAS/119/2016 vom 17. September 2012</w:t>
      </w:r>
    </w:p>
    <w:p>
      <w:r>
        <w:t>GE Cour de justice, 2012-09-17, FR</w:t>
      </w:r>
    </w:p>
    <w:p>
      <w:r>
        <w:rPr>
          <w:b/>
        </w:rPr>
        <w:t xml:space="preserve">Quelle: </w:t>
      </w:r>
      <w:r>
        <w:t>https://mcp.opencaselaw.ch/entscheid/ge_gerichte_DAS_119_2016</w:t>
      </w:r>
    </w:p>
    <w:p>
      <w:r>
        <w:t>FR: GE_GERICHTE DAS/119/2016 du 17 septembre 2012</w:t>
      </w:r>
    </w:p>
    <w:p>
      <w:r>
        <w:t>IT: GE_GERICHTE DAS/119/2016 del 17 settembre 2012</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w:t>
      </w:r>
    </w:p>
    <w:p>
      <w:r>
        <w:t>- 7/12 -</w:t>
      </w:r>
    </w:p>
    <w:p>
      <w:r>
        <w:t>C/19234/2012-CS Interjeté par une partie à la procédure, dans le délai utile et suivant la forme prescrite, le recours est recevable.</w:t>
      </w:r>
    </w:p>
    <w:p>
      <w:r>
        <w:rPr>
          <w:b/>
        </w:rPr>
        <w:t>E. 1.2</w:t>
      </w:r>
    </w:p>
    <w:p>
      <w:r>
        <w:t>Compte tenu de la matière, soumise aux maximes inquisitoire et d'office illimitée, la cognition de la Chambre de céans est complète. La Chambre de surveillance n'est pas liée par les conclusions des parties (art. 446 CC; art. 314 al. 1 et 440 al. 3 CC).</w:t>
      </w:r>
    </w:p>
    <w:p>
      <w:r>
        <w:rPr>
          <w:b/>
        </w:rPr>
        <w:t>E. 1.3</w:t>
      </w:r>
    </w:p>
    <w:p>
      <w:r>
        <w:t>En principe, il n'y a pas de débats devant la Chambre de surveillance de la Cour de justice, sauf en matière de placement à des fins d'assistance (art. 53 al. 5 LaCC). Dans le cas d'espèce, la Chambre de surveillance est en mesure de rendre une décision sans qu'il soit nécessaire de procéder à des actes d'instruction. Il ne sera par conséquent pas donné suite à la requête du recourant visant à être entendu.</w:t>
      </w:r>
    </w:p>
    <w:p>
      <w:r>
        <w:rPr>
          <w:b/>
        </w:rPr>
        <w:t>E. 2</w:t>
      </w:r>
    </w:p>
    <w:p>
      <w:r>
        <w:t>2.1.1 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 et divorce, 2006, p. 101 ss, 105).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w:t>
      </w:r>
    </w:p>
    <w:p>
      <w:r>
        <w:t>- 8/12 -</w:t>
      </w:r>
    </w:p>
    <w:p>
      <w:r>
        <w:t>C/19234/2012-CS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2.1.3 Dans les affaires relatives à la protection de l'enfant, le juge est lié à la maxime inquisitoire en ce qui concerne l'établissement des faits et l'appréciation des preuves (art. 446 CC applicable par renvoi de l'art. 314 al. 1 CC). Si nécessaire, il ordonne un rapport d'expertise (art. 446 al. 2 CC). Abstraction faite de certaines exceptions,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les faits pertinents pour la décision; il jouit à cet égard d'un large pouvoir d'appréciation (arrêt 5A_798/2009 du 4 mars 2010 consid. 3.1 et les arrêts cités), qui trouve sa limite dans l'interdiction de l'arbitraire (ATF 127 I 38 consid. 2a p. 41).</w:t>
      </w:r>
    </w:p>
    <w:p>
      <w:r>
        <w:rPr>
          <w:b/>
        </w:rPr>
        <w:t>E. 2.2</w:t>
      </w:r>
    </w:p>
    <w:p>
      <w:r>
        <w:t>En l'espèce, le Tribunal de protection a considéré, compte tenu des difficultés psychiques que le recourant semblait rencontrer, qu'il se justifiait de lui réserver un droit de visite sur son fils devant s'exercer dans un Point rencontre et qu'il n'était pas nécessaire d'ordonner une expertise familiale, la cause étant suffisamment instruite. La Chambre de surveillance ne partage pas entièrement cet avis.</w:t>
      </w:r>
    </w:p>
    <w:p>
      <w:r>
        <w:t>- 9/12 -</w:t>
      </w:r>
    </w:p>
    <w:p>
      <w:r>
        <w:t>C/19234/2012-CS Il résulte de la procédure que le droit de visite du recourant a été exercé de manière irrégulière et que les relations très tendues entre les parties rendent son organisation difficile. Il est également établi que C______ souffre de problèmes en lien avec le spectre autistique, qui le rendent particulièrement sensible et vulnérable et nécessitent une prise en charge adaptée. Il a manifesté des réactions inquiétantes en relation avec le droit de visite de son père, qui justifient la prise de précautions particulières. Par ailleurs, le comportement adopté par A______ est de nature à susciter des interrogations sur ses capacités parentales. Il semble en effet qu'il persiste à minimiser l'importance des difficultés rencontrées par son fils, tout en considérant, en substance, que celles-ci sont induites par le comportement de la mère, qui fait selon lui obstruction à son droit de visite. Il ressort en outre du rapport du Service de protection des mineurs que le recourant a adopté à l'égard de celui-ci une attitude méfiante et peu collaborante. S'ajoutent enfin à ces différents éléments les propos du recourant rapportés par B______, lesquels sont toutefois contestés, ainsi que le ton inadéquat adopté par le recourant dans son acte de recours adressé à la Chambre de céans. Au vu de ce qui précède, le droit de visite tel que fixé par le Tribunal de première instance ne paraît effectivement plus être adapté à la situation actuelle. Toutefois et contrairement à ce qu'a retenu le Tribunal de protection, le dossier n'était pas suffisamment instruit pour permettre, sur le fond, de tenir pour acquises les difficultés psychiques de A______ et le fait qu'un droit de visite exercé en milieu protégé conviendrait sans autre à C______ et ce en dépit de la présence d'un psychologue dans la composition du Tribunal de protection. Il apparaît au contraire nécessaire d'investiguer de manière plus approfondie le fonctionnement du recourant, afin de déterminer s'il souffre ou pas de troubles psychiatriques et, en cas de réponse positive, si lesdits troubles lui permettent d'exercer un droit de visite sur son enfant et si oui selon quelles modalités, compte tenu également de la pathologie dont souffre C______. Il s'agira en effet de déterminer également si un droit de visite exercé le cas échéant en milieu protégé est conforme à l'intérêt de l'enfant ou s'il risque d'affecter son bien-être et d'aggraver ses troubles. La décision contestée sera par conséquent annulée et la cause renvoyée au Tribunal de protection pour suite d'instruction dans le sens des considérants qui précèdent.</w:t>
      </w:r>
    </w:p>
    <w:p>
      <w:r>
        <w:rPr>
          <w:b/>
        </w:rPr>
        <w:t>E. 2.3</w:t>
      </w:r>
    </w:p>
    <w:p>
      <w:r>
        <w:t>Afin d'éviter toutefois que les relations entre le père et son enfant ne soient interrompues pendant une longue période, il convient de prononcer des mesures provisionnelles. Le droit de visite du recourant, sur mesures provisionnelles, sera par conséquent fixé conformément à ce qui avait été prévu sur le fond par le Tribunal de protection, soit à raison de deux heures par quinzaine au sein d'un Point rencontre, une curatelle d'organisation et de surveillance du droit de visite</w:t>
      </w:r>
    </w:p>
    <w:p>
      <w:r>
        <w:t>- 10/12 -</w:t>
      </w:r>
    </w:p>
    <w:p>
      <w:r>
        <w:t>C/19234/2012-CS étant instaurée. Il appartiendra au curateur d'informer le Tribunal de protection si le droit de visite ainsi fixé sur mesures provisionnelles devait mal se dérouler et porter préjudice à l'enfant.</w:t>
      </w:r>
    </w:p>
    <w:p>
      <w:r>
        <w:rPr>
          <w:b/>
        </w:rPr>
        <w:t>E. 3</w:t>
      </w:r>
    </w:p>
    <w:p>
      <w:r>
        <w:t>La procédure concernant les relations personnelles n'est pas gratuite (art. 19 et 77 LaCC). Les frais judiciaires seront arrêtés à 400 fr. et, vu l'issue de la procédure, seront laissés à la charge de l'Etat. L'avance de frais de même montant versée par le recourant lui sera dès lors restituée. * * * * *</w:t>
      </w:r>
    </w:p>
    <w:p>
      <w:r>
        <w:t>- 11/12 -</w:t>
      </w:r>
    </w:p>
    <w:p>
      <w:r>
        <w:t>C/19234/2012-CS PAR CES MOTIFS, La Chambre de surveillance : A la forme : Déclare recevable le recours formé le 17 mars 2016 par A______ contre l'ordonnance DTAE/1142/2016 rendue le 29 février 2016 par le Tribunal de protection de l'adulte et de l'enfant dans la cause C/19234/2012-7. Statuant sur mesures provisionnelles : Modifie les modalités d'exercice des relations personnelles entre A______ et son fils mineur C______, né le ______ 2009, telles que fixées par le Tribunal de première instance dans son jugement du 17 septembre 2012. Accorde à A______ un droit de visite sur son fils C______, qui s'exercera à raison de deux heures par quinzaine au sein d'un Point rencontre. Instaure une curatelle d'organisation et de surveillance du droit de visite. Désigne D______, intervenante en protection de l'enfant, et, à titre de suppléant, E______, chef de groupe, aux fonctions de curateurs du mineur. Au fond : Annule la décision attaquée. Renvoie la cause au Tribunal de protection de l'adulte et de l'enfant pour suite d'instruction dans le sens des considérants et nouvelle décision. Sur les frais : Arrête les frais judiciaires à 400 fr. et les laisse à la charge de l'Etat. Ordonne la restitution à A______ de l'avance de frais de même montant. Siégeant : Monsieur Cédric-Laurent MICHEL, président; Monsieur Jean-Marc STRUBIN et Madame Paola CAMPOMAGNANI, juges; Madame Carmen FRAGA, greffière.</w:t>
      </w:r>
    </w:p>
    <w:p>
      <w:r>
        <w:t>- 12/12 -</w:t>
      </w:r>
    </w:p>
    <w:p>
      <w:r>
        <w:t>C/19234/2012-CS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