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DAS/116/2024 vom 5. August 2021</w:t>
      </w:r>
    </w:p>
    <w:p>
      <w:r>
        <w:t>GE Cour de justice, 2021-08-05, FR</w:t>
      </w:r>
    </w:p>
    <w:p>
      <w:r>
        <w:rPr>
          <w:b/>
        </w:rPr>
        <w:t xml:space="preserve">Quelle: </w:t>
      </w:r>
      <w:r>
        <w:t>https://mcp.opencaselaw.ch/entscheid/ge_gerichte_DAS_116_2024</w:t>
      </w:r>
    </w:p>
    <w:p>
      <w:r>
        <w:t>FR: GE_GERICHTE DAS/116/2024 du 5 août 2021</w:t>
      </w:r>
    </w:p>
    <w:p>
      <w:r>
        <w:t>IT: GE_GERICHTE DAS/116/2024 del 5 agosto 2021</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et devant l'autorité compétente (art. 72 al. 1 LaCC).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Aux termes de l’art. 57 al. 1 LaCC,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la recourante a remis en cause, à bien la comprendre, l'une des trois conditions posées au maintien du sursis au placement à des fins d’assistance dont elle a fait l’objet, à savoir les passages infirmiers quotidiens pour la prise du traitement médicamenteux prescrit, considérant être en mesure de gérer seule sa prise de médicaments. Dans son recours, elle s'est également plainte de divers vols et intrusions à son domicile ainsi que d'un litige avec un tiers concernant le versement d'une somme d'argent. Ces derniers points, sans lien avec le contenu de l'ordonnance entreprise, sont exorbitants à la présente procédure relative au sursis à son placement et aux conditions qui l'assortissent.</w:t>
      </w:r>
    </w:p>
    <w:p>
      <w:r>
        <w:t>- 6/7 -</w:t>
      </w:r>
    </w:p>
    <w:p>
      <w:r>
        <w:t>C/17303/2014-CS La Chambre de surveillance relève que la recourante souffre d'un trouble psychiatrique sérieux depuis de nombreuses années, soit un trouble délirant persistant avec des éléments de persécution. Elle a ainsi été hospitalisée à de multiples reprises au sein de la Clinique de C______ en raison de son trouble, celui-ci régressant lorsqu’elle est prise en charge de manière adéquate, puis se renforçant à nouveau après sa sortie de la clinique, faute d’un suivi régulier de son traitement, conduisant au prononcé d'une nouvelle hospitalisation, la dernière fois le 1er février 2024. Alors que les conditions au sursis de son dernier placement avaient été discutées en sa présence lors de l'audience tenue le 25 avril 2024 par le Tribunal de protection et que la recourante semblait y adhérer, elle a formé un recours contre l’ordonnance rendue à la même date, qui formalisait lesdites conditions. Selon les indications de sa curatrice, depuis sa sortie de la clinique, la recourante s'y conforme néanmoins, à contrecœur. Elle accepte de faire entrer chez elle les infirmiers de l'IMAD, alors que tel n'était pas le cas avant son hospitalisation, et de se rendre aux consultations de son psychiatre de ville. Il résulte toutefois des explications de sa curatrice, qu'aucun élément objectif ne vient contredire, que l'alliance thérapeutique et la compliance au traitement sont encore fragiles. En outre, les précédentes ruptures de traitement de la recourante incitent à la prudence. Ainsi, il ressort de la procédure que les mesures prononcées par le Tribunal de protection dans l’ordonnance attaquée sont adéquates et conformes à l’intérêt de la recourante dès lors qu'elles garantissent la stabilisation de son état, lui permettant ainsi de vivre hors des murs de l'hôpital sans présenter de danger pour elle-même ou pour des tiers. Il serait prématuré, alors que l'hospitalisation de la recourante a pris fin il y a moins d'un mois, de songer d'ores et déjà à les supprimer. Il appartient à celle-ci de démontrer qu’elle est en mesure de s’y conformer, avant de songer à solliciter leur remplacement par d’autres conditions moins restrictives, telle qu'une réduction de la fréquence des passages de l'IMAD à son domicile, ou encore la levée du placement. Infondé, le recours sera rejeté.</w:t>
      </w:r>
    </w:p>
    <w:p>
      <w:r>
        <w:rPr>
          <w:b/>
        </w:rPr>
        <w:t>E. 3</w:t>
      </w:r>
    </w:p>
    <w:p>
      <w:r>
        <w:t>La procédure de recours est gratuite (art. 22 al. 4 LaCC). * * * * *</w:t>
      </w:r>
    </w:p>
    <w:p>
      <w:r>
        <w:t>- 7/7 -</w:t>
      </w:r>
    </w:p>
    <w:p>
      <w:r>
        <w:t>C/17303/2014-CS PAR CES MOTIFS, La Chambre de surveillance : A la forme : Déclare recevable le recours formé le 5 mai 2024 par A______ contre l'ordonnance DTAE/2804/2024 rendue le 25 avril 2024 par le Tribunal de protection de l'adulte et de l'enfant dans la cause C/17303/2014. Au fond : Le rejette. Dit que la procédure est gratuite. Siégeant : Madame Paola CAMPOMAGNANI, présidente ad interim; Mesdames Jocelyne DEVILLE-CHAVANNE et Stéphanie MUSY,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