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DAS/115/2021 vom 5. Februar 2021</w:t>
      </w:r>
    </w:p>
    <w:p>
      <w:r>
        <w:t>GE Cour de justice, 2021-02-05, FR</w:t>
      </w:r>
    </w:p>
    <w:p>
      <w:r>
        <w:rPr>
          <w:b/>
        </w:rPr>
        <w:t xml:space="preserve">Quelle: </w:t>
      </w:r>
      <w:r>
        <w:t>https://mcp.opencaselaw.ch/entscheid/ge_gerichte_DAS_115_2021</w:t>
      </w:r>
    </w:p>
    <w:p>
      <w:r>
        <w:t>FR: GE_GERICHTE DAS/115/2021 du 5 février 2021</w:t>
      </w:r>
    </w:p>
    <w:p>
      <w:r>
        <w:t>IT: GE_GERICHTE DAS/115/2021 del 5 febbraio 2021</w:t>
      </w:r>
    </w:p>
    <w:p>
      <w:pPr>
        <w:pStyle w:val="Heading2"/>
      </w:pPr>
      <w:r>
        <w:t>Erwägungen</w:t>
      </w:r>
    </w:p>
    <w:p>
      <w:r>
        <w:rPr>
          <w:b/>
        </w:rPr>
        <w:t>E. 28</w:t>
      </w:r>
    </w:p>
    <w:p>
      <w:r>
        <w:t>avril 2021, fait part de la réitération de l'enfant reçue le jour même par ledit service, de sa volonté de ne pas revoir sa mère, ni d'entretenir de contacts avec elle. La cause a été gardée à juger à réception. C. Ressortent pour le surplus de la procédure les faits pertinents suivants: a) E______ est né le ______ 2007 de A______ et B______. Suite à la séparation des parents en 2014, le père de l'enfant avait saisi le Tribunal de protection en septembre 2018, afin qu'il soit statué sur l'attribution des droits parentaux et que les relations personnelles soient fixées entre l'enfant et ses parents, celui-là vivant avec son père. b) Par rapport d'évaluation du 26 avril 2019, le Service d'évaluation et d'accompagnement de la séparation parentale (ci-après: SEASP) a préconisé l'attribution de la garde de l'enfant au père et l'introduction d'un droit de visite progressif en faveur de la mère, ayant constaté qu'outre le conflit entre les parents, le lien entre l'enfant et sa mère avait été rompu depuis plusieurs mois. Il était nécessaire de maintenir un environnement stable à l'enfant qui habitait chez son père. c) Par ordonnance sur mesures provisionnelles du 16 juillet 2019, le Tribunal de protection a maintenu la garde de l'enfant en faveur du père et mis en place un</w:t>
      </w:r>
    </w:p>
    <w:p>
      <w:r>
        <w:t>- 4/7 -</w:t>
      </w:r>
    </w:p>
    <w:p>
      <w:r>
        <w:t>C/3943/2008-CS droit de visite de la mère sur l'enfant progressif à raison d'un jour par semaine initialement, un élargissement étant prévu par la suite. Une curatelle d'organisation et de surveillance des relations personnelles était instaurée et la poursuite d'un suivi thérapeutique de l'enfant ordonnée. La mise en œuvre du droit de visite a été émaillée de plusieurs accros, dont la mère rendait le père responsable. d) En date du 9 mars 2020, le SPMi, faisant part de son inquiétude relative à l'évolution de l'enfant, a préavisé la restriction du droit de visite de la mère à un après-midi par mois. Le SPMi considérait que le maintien du statu quo prévu par l'ordonnance antérieure était délétère pour l'enfant, la diminution de la fréquence des visites devant pouvoir l'apaiser, le cas échéant avec le soutien d'un tiers. Ce service relatait également l'inquiétude de la psychologue de l'enfant laquelle avait constaté une péjoration de la situation de celui-ci depuis le rétablissement des visites de la mère en août 2019, l'enfant ayant invoqué des "idées noires". Les mêmes constatations ont été faites par l'infirmière scolaire. e) En date du 30 septembre 2020, après avoir notamment reçu du SPMi copie du courrier adressé par l'enfant à sa curatrice dans lequel il exposait qu'il n'existait aucune relation entre lui et sa mère et qu'il souhaitait que son avis soit pris en considération, le Tribunal de protection a entendu l'adolescent qui a réitéré que pour lui, sa mère était une inconnue et qu'il ne ressentait pas le besoin de la voir, ne se sentant pas bien auprès d'elle. Il lui reprochait en particulier de l'avoir envoyé en Chine auprès de sa tante pendant les trois premières années de sa vie. EN DROIT 1. 1.1 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(art. 450 al. 1 CC), le recours est recevable. 1.2 En l'absence de tout grief relatif aux ch. 2 et 3 du dispositif de l'ordonnance attaquée, le recours est irrecevable à leur propos (art. 450 al. 3 CC). 1.3 La Chambre de surveillance examine la cause librement, en fait, en droit et sous l’angle de l’opportunité (art. 450a al. 1 CC). Elle établit les faits d’office et n’est pas liée par les conclusions des parties (art. 446 al. 1 et 3 CC). 2. La recourante fait grief au Tribunal de protection d'avoir suspendu temporairement les relations personnelles entre elle-même et son fils, alors qu'aucun élément au dossier ne démontrait selon elle l'existence d'un danger pour le développement de l'enfant, en cas de maintien de celles-ci. Cette décision</w:t>
      </w:r>
    </w:p>
    <w:p>
      <w:r>
        <w:t>- 5/7 -</w:t>
      </w:r>
    </w:p>
    <w:p>
      <w:r>
        <w:t>C/3943/2008-CS apparaissait pour le surplus disproportionnée, dans la mesure où le SPMi ne sollicitait dans son rapport qu'une diminution de la fréquence desdites relations.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 Problèmes récurrents, in Enfant et divorce, 2006, p. 101 ss, 105). Si les relations personnelles compromettent le développement de l'enfant (…), le droit d'entretenir ces relations peut leur être refusé ou retiré (art. 274 al. 2 CC). La limitation du droit aux relations personnelles doit respecter le principe de proportionnalité (LEUBA CR-CC 2010, ad art. 274 n° 18-22). Le juge dispose d'un large pouvoir d'appréciation (ATF 122 III 404 consid. 3d). Lorsque le juge fixe l'étendue du droit de visite, il convient d'avoir à l'esprit le but auquel tend la relation personnelle entre le parent et l'enfant et de voir ce que l'enfant est en mesure de supporter, le bien de l'enfant étant déterminant (ATF 120 II 229 consid. 4). Pour apprécier ce qu'est le bien de l'enfant, le juge tiendra compte de manière équitable de l'ensemble des circonstances, notamment de l'âge de l'enfant, de sa santé et des relations qu'il entretient avec l'ayant-droit (MEIER/STETTLER, Droit de la filiation, 2009, n° 700 p. 407). 2.2.2 En l'espèce, la décision du Tribunal de protection d'ordonner la suspension temporaire des relations personnelles entre la recourante et son fils doit être confirmée. En effet, tout d'abord cette suspension n'est que temporaire et non définitive. La question pourra être réexaminée en cas de changement de circonstances. En outre, il ressort du dossier que les relations personnelles entre la recourante et l'enfant avaient été suspendues durant de nombreux mois préalablement à la décision provisionnelle prononcée par le Tribunal de protection le 16 juillet 2019, rétablissant un droit de visite progressif entre la mère et l'enfant. Or, le dossier enseigne que tous les intervenants, SPMi, psychologue de l'enfant, infirmière scolaire, ont constaté une péjoration de l'état de l'enfant depuis la reprise desdites relations, le mal-être de celui-ci s'étant accru et ayant suscité chez lui des "idées noires". Ces faits ont conduit le SPMi à préconiser, dans son rapport du 9 mars 2020, une drastique réduction du droit de visite à un après-midi par mois, si possible de manière médiatisée, soit dans les faits une quasi interruption desdites relations.</w:t>
      </w:r>
    </w:p>
    <w:p>
      <w:r>
        <w:t>- 6/7 -</w:t>
      </w:r>
    </w:p>
    <w:p>
      <w:r>
        <w:t>C/3943/2008-CS En prenant la décision de suspendre complètement, temporairement, le droit de visite de la recourante sur son fils, le Tribunal de protection n'a pas violé le principe de proportionnalité et a respecté parfaitement le principe cardinal de l'intérêt de l'enfant dans la fixation des relations personnelles avec ses parents. Tant le rapport précité du SPMi et les déclarations des intervenants médicaux et paramédicaux qui y sont contenues, que les affirmations claires et répétées du mineur, âgé de quatorze ans, conduisent à considérer un rétablissement contraint des relations entre l'enfant et sa mère comme une source de déstabilisation et de mise en danger de son développement psychique. Il était dès lors parfaitement dans son intérêt de refuser de le contraindre à l'exercice de relations personnelles délétères et rejetées avec virulence. Ce rejet a par ailleurs été confirmé par l'enfant à l'adresse de la Cour dans les observations du SPMi, reçues le 3 mai 2021. Par conséquent, il n'est de toute évidence pas dans l'intérêt du développement harmonieux de l'enfant que des relations personnelles avec sa mère soient maintenues en l'état et dans les circonstances découlant du dossier. Conforme à la loi et proportionnée, la décision ne peut être que confirmée. 3. Dans la mesure où elle succombe, la recourante supportera les frais de la procédure, arrêtés à 400 fr. Dans la mesure où elle bénéficie de l'assistance judiciaire, ces frais seront provisoirement supportés par l'Etat de Genève. * * * * *</w:t>
      </w:r>
    </w:p>
    <w:p>
      <w:r>
        <w:t>- 7/7 -</w:t>
      </w:r>
    </w:p>
    <w:p>
      <w:r>
        <w:t>C/3943/2008-CS PAR CES MOTIFS, La Chambre de surveillance : A la forme : Déclare recevable le recours formé le 5 février 2021 par A______ contre l’ordonnance DTAE/7577/2020 rendue le 30 septembre 2020 par le Tribunal de protection de l’adulte et de l’enfant dans la cause C/3943/2008. Au fond : Le rejette et confirme l’ordonnance attaquée. Sur les frais : Arrête les frais de la procédure de recours à 400 fr., les met à la charge de A______ et dit qu'ils sont provisoirement supportés par l’Etat de Genève, vu l'octroi de l'assistance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