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DAS/114/2023 vom 26. April 2023</w:t>
      </w:r>
    </w:p>
    <w:p>
      <w:r>
        <w:t>GE Cour de justice, 2023-04-26, FR</w:t>
      </w:r>
    </w:p>
    <w:p>
      <w:r>
        <w:rPr>
          <w:b/>
        </w:rPr>
        <w:t xml:space="preserve">Quelle: </w:t>
      </w:r>
      <w:r>
        <w:t>https://mcp.opencaselaw.ch/entscheid/ge_gerichte_DAS_114_2023</w:t>
      </w:r>
    </w:p>
    <w:p>
      <w:r>
        <w:t>FR: GE_GERICHTE DAS/114/2023 du 26 avril 2023</w:t>
      </w:r>
    </w:p>
    <w:p>
      <w:r>
        <w:t>IT: GE_GERICHTE DAS/114/2023 del 26 aprile 2023</w:t>
      </w:r>
    </w:p>
    <w:p>
      <w:pPr>
        <w:pStyle w:val="Heading2"/>
      </w:pPr>
      <w:r>
        <w:t>Volltext</w:t>
      </w:r>
    </w:p>
    <w:p>
      <w:r>
        <w:t>REPUBLIQUE ET</w:t>
      </w:r>
    </w:p>
    <w:p>
      <w:r>
        <w:t>CANTON DE GENEVE POUVOIR JUDICIAIRE C/985/2023-CS DAS/114/2023 DECISION DE LA COUR DE JUSTICE Chambre de surveillance DU VENDREDI 19 MAI 2023</w:t>
      </w:r>
    </w:p>
    <w:p>
      <w:r>
        <w:t>Recours (C/985/2023-CS) formé en date du 26 avril 2023 par Madame A______, domiciliée ______ (Genève), comparant en personne. * * * * * Décision communiquée par plis recommandés du greffier du 23 mai 2023 à : - Madame A______ ______, ______. - Madame B______ Monsieur C______ SERVICE DE PROTECTION DE L'ADULTE Case postale 107, 1211 Genève 8. - TRIBUNAL DE PROTECTION DE L'ADULTE ET DE L'ENFANT.</w:t>
      </w:r>
    </w:p>
    <w:p>
      <w:r>
        <w:t>- 2/3 -</w:t>
      </w:r>
    </w:p>
    <w:p>
      <w:r>
        <w:t>C/985/2023-CS Vu la procédure C/985/2023; Attendu, EN FAIT, que par ordonnance DTAE/2779/2023 rendue le 15 mars 2023, le Tribunal de protection de l'adulte et de l'enfant a institué une curatelle de représentation et de gestion en faveur de A______, née le ______ 1956, de nationalité italienne (ch. 1 du dispositif), désigné deux intervenants en protection de l’adulte auprès du Service de protection de l'adulte (SPAd) aux fonctions de curateurs, les curateurs pouvant se substituer l’un à l’autre dans l’exercice de leur mandat, chacun avec les pleins pouvoirs de représentation (ch. 2), confié aux curateurs les tâches suivantes: représenter la personne concernée dans ses rapports avec les tiers, en particulier en matière d’affaires administratives et juridiques et gérer ses revenus et biens et administrer ses affaires courantes (ch. 3), autorisé les curateurs à prendre connaissance de la correspondance de la personne concernée, dans les limites du mandat et laissé les frais judiciaires à la charge de l’Etat (ch. 4 et 5); Que ladite ordonnance a été communiquée à A______ pour notification le 13 avril 2023; Que par acte adressé à la Chambre de surveillance de la Cour de Justice le 26 avril 2023, A______ a formé recours contre l'ordonnance précitée;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26 avril 2023 est dépourvu de tout grief contre l'ordonnance attaquée et ne remplit donc pas les exigences de motivation de l'art. 450 al. 3 CC, la recourante n'énonçant pas en quoi le Tribunal de protection aurait arbitrairement constaté les faits et/ou en quoi consisteraient les violations de la loi qui lui sont reprochées; Que le recours est dès lors irrecevable pour défaut de motivation; Qu'aucun acte de procédure n'ayant été effectué, il sera renoncé à la perception de frais judiciaires. * * * * *</w:t>
      </w:r>
    </w:p>
    <w:p>
      <w:r>
        <w:t>- 3/3 -</w:t>
      </w:r>
    </w:p>
    <w:p>
      <w:r>
        <w:t>C/985/2023-CS PAR CES MOTIFS, La Chambre de surveillance : Déclare irrecevable le recours formé le 26 avril 2023 par A______ contre l'ordonnance DTAE/2779/2023 rendue le 15 mars 2023 par le Tribunal de protection de l'adulte et de l'enfant dans la cause C/985/2023.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