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DAS/111/2017 vom 16. Juni 2017</w:t>
      </w:r>
    </w:p>
    <w:p>
      <w:r>
        <w:t>GE Cour de justice, 2017-06-16, FR</w:t>
      </w:r>
    </w:p>
    <w:p>
      <w:r>
        <w:rPr>
          <w:b/>
        </w:rPr>
        <w:t xml:space="preserve">Quelle: </w:t>
      </w:r>
      <w:r>
        <w:t>https://mcp.opencaselaw.ch/entscheid/ge_gerichte_DAS_111_2017</w:t>
      </w:r>
    </w:p>
    <w:p>
      <w:r>
        <w:t>FR: GE_GERICHTE DAS/111/2017 du 16 juin 2017</w:t>
      </w:r>
    </w:p>
    <w:p>
      <w:r>
        <w:t>IT: GE_GERICHTE DAS/111/2017 del 16 giugno 2017</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Ces dispositions s'appliquent également au traitement sans consentement (art. 439 al. 1 ch. 4 CC). En l'espèce, les recours ont été formés dans le délai utile de dix jours et devant l'autorité compétente (art. 72 al. 1 LaCC). Ils sont donc recevables et seront traités ensemble.</w:t>
      </w:r>
    </w:p>
    <w:p>
      <w:r>
        <w:rPr>
          <w:b/>
        </w:rPr>
        <w:t>E. 2.1</w:t>
      </w:r>
    </w:p>
    <w:p>
      <w:r>
        <w:t>En vertu de l'art. 426 al. 1 CC, une personne peut être placée dans une institution appropriée lorsqu'en raison de troubles psychiques, d'une déficience</w:t>
      </w:r>
    </w:p>
    <w:p>
      <w:r>
        <w:t>- 4/6 -</w:t>
      </w:r>
    </w:p>
    <w:p>
      <w:r>
        <w:t>C/26026/2001-CS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ss.; arrêt 5A_469/2013 du 17 juillet 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à propos de la notion d'institution "appropriée"; ATF 112 II 486 consid. 4c p. 490; 114 II 213 consid. 7 p. 218 s.). Selon l'art. 434 al. 1 CC, si le consentement de la personne concernée fait défaut, le médecin-chef du service concerné peut prescrire par écrit les soins médicaux prévus par le plan de traitement lorsque le défaut de traitement met gravement en péril la santé de la personne concernée ou la vie ou l'intégrité personnelle d'autrui, la personne concernée n'a pas la capacité de discernement requise pour saisir la nécessité du traitement, il n'existe pas de mesures appropriées moins rigoureuses. La personne concernée peut en appeler par écrit au juge en cas de traitement de troubles psychiques sans son consentement (art. 439 al. 1 ch. 4 CC).</w:t>
      </w:r>
    </w:p>
    <w:p>
      <w:r>
        <w:rPr>
          <w:b/>
        </w:rPr>
        <w:t>E. 2.2</w:t>
      </w:r>
    </w:p>
    <w:p>
      <w:r>
        <w:t>Dans le cas d'espèce, la recourante a été hospitalisée contre son gré, sur décision d'un médecin, un traitement sans son consentement lui étant prodigué à base du neuroleptique Haldol.</w:t>
      </w:r>
    </w:p>
    <w:p>
      <w:r>
        <w:t>- 5/6 -</w:t>
      </w:r>
    </w:p>
    <w:p>
      <w:r>
        <w:t>C/26026/2001-CS Il est établi par la procédure et notamment par l'expertise ordonnée par le Tribunal de protection, qui est confirmée par les déclarations du médecin responsable ainsi que par les termes de la précédente expertise délivrée dans le cadre du prononcé de la tutelle, que le placement justifié au moment où il a été ordonné au vu du diagnostic posé, l'était encore sur la base des mêmes éléments au moment où le Tribunal de protection a statué. De même l'est-il toujours à ce jour comme le traitement sans consentement d'ailleurs. En effet de l'avis concordant de l'expert, du médecin et du curateur, la nécessité d'une poursuite du placement ne fait aucun doute pour des motifs tenant d'une part à la nécessité de proposer un traitement à la recourante et du fait qu'un traitement ambulatoire n'est pas envisageable du fait de son absence totale de compliance et de prise de conscience de cette nécessité. Mais en outre, le placement est imposé par le fait que, sans celui-ci, la recourante est susceptible de mettre sa vie en danger et possiblement de faire courir un danger à des tiers. Le traitement prodigué, qui commence seulement à produire des effets que les intervenants décrivent en l'état comme modérés mais favorables, est un traitement au long cours qu'il est indispensable que la recourante poursuive. Par conséquent, ses recours seront rejetés.</w:t>
      </w:r>
    </w:p>
    <w:p>
      <w:r>
        <w:rPr>
          <w:b/>
        </w:rPr>
        <w:t>E. 3</w:t>
      </w:r>
    </w:p>
    <w:p>
      <w:r>
        <w:t>La procédure est gratuite (art. 22 al. 4 LaCC). * * * * *</w:t>
      </w:r>
    </w:p>
    <w:p>
      <w:r>
        <w:t>- 6/6 -</w:t>
      </w:r>
    </w:p>
    <w:p>
      <w:r>
        <w:t>C/26026/2001-CS PAR CES MOTIFS, La Chambre de surveillance : A la forme : Déclare recevables les recours formés les 29 mai 2017 et 16 juin 2017 par A_______ contre les ordonnances DTAE/2458/2017 et DTAE/2650/2017 rendues par le Tribunal de protection de l'adulte et de l'enfant respectivement les 26 mai 2017 et 6 juin 2017 dans la cause C/26026/2001-5. Au fond : Les rejette et confirme les ordonnances attaquées.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