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DAS/10/2025 vom 21. Oktober 2024</w:t>
      </w:r>
    </w:p>
    <w:p>
      <w:r>
        <w:t>GE Cour de justice, 2024-10-21, FR</w:t>
      </w:r>
    </w:p>
    <w:p>
      <w:r>
        <w:rPr>
          <w:b/>
        </w:rPr>
        <w:t xml:space="preserve">Quelle: </w:t>
      </w:r>
      <w:r>
        <w:t>https://mcp.opencaselaw.ch/entscheid/ge_gerichte_DAS_10_2025</w:t>
      </w:r>
    </w:p>
    <w:p>
      <w:r>
        <w:t>FR: GE_GERICHTE DAS/10/2025 du 21 octobre 2024</w:t>
      </w:r>
    </w:p>
    <w:p>
      <w:r>
        <w:t>IT: GE_GERICHTE DAS/10/2025 del 21 ottobre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(art. 142 al. 3 CPC)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- 9/13 -</w:t>
      </w:r>
    </w:p>
    <w:p>
      <w:r>
        <w:t>C/13461/2013-CS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w:t>
      </w:r>
    </w:p>
    <w:p>
      <w:r>
        <w:rPr>
          <w:b/>
        </w:rPr>
        <w:t>E. 2.2</w:t>
      </w:r>
    </w:p>
    <w:p>
      <w:r>
        <w:t>En l'espèce, la recourante ne s'oppose pas au fait que le père puisse exercer un droit de visite sur le mineur G______; seules les modalités des relations personnelles sont contestées. Contrairement à ce qu'a soutenu la recourante, le Tribunal de protection a tenu compte dans une large mesure des circonstances du cas d'espèce (notamment des effets sur l'enfant de la violente altercation entre ses parents du 23 octobre 2022 et de l'absence de remise en question du père sur sa propre responsabilité dans la situation actuelle) en n'accordant au père qu'un droit de visite très limité. Cela étant, il sera relevé d'entrée de cause que le dispositif de la décision attaquée est peu clair: le Tribunal de protection a en effet réservé au père "un droit de visite sur le mineur G______ devant s'exercer à raison de deux heures chaque week-end au sein d'un Point rencontre, en modalité "passage",</w:t>
      </w:r>
    </w:p>
    <w:p>
      <w:r>
        <w:t>- 10/13 -</w:t>
      </w:r>
    </w:p>
    <w:p>
      <w:r>
        <w:t>C/13461/2013-CS avec un temps de battement de quinze minutes entre l'arrivée et le départ de chaque parent". Or, le terme "passage" est habituellement utilisé lorsque le droit de visite s'exerce librement à l'extérieur du Point rencontre et que seul le passage de l'enfant entre un parent et l'autre doit s'effectuer par le biais du Point rencontre. Par conséquent, le chiffre 1 du dispositif de la décision attaquée manque de précision et de cohérence, puisqu'il mentionne à la fois un droit de visite devant s'exercer "au sein" du Point rencontre et le terme "passage", modalités qui paraissent incompatibles. La lecture des considérants de l'ordonnance litigieuse ne permet par ailleurs pas de mieux comprendre les intentions du Tribunal de protection sur ce point. Il y a dès lors lieu d'annuler le chiffre 1 du dispositif de l'ordonnance attaquée et de statuer à nouveau sur ce point. Le mineur G______ n'a pas revu son père (sous réserve de la rencontre qui a eu lieu aux fins d'expertise) depuis les événements regrettables et traumatisants qui se sont déroulés le 23 octobre 2022, soit depuis désormais plus de deux ans. Une telle période, surtout pour un enfant qui aura sept ans en février 2025, est particulièrement longue et il est difficile de déterminer à l'avance quelle sera sa réaction lors de la reprise des relations personnelles avec son père, quand bien même le rapport d'expertise mentionne le fait qu'il s'est montré à l'aise en sa présence, étant toutefois précisé que l'un des experts était alors présent. Il se justifie par conséquent de prendre quelques précautions afin de s'assurer que le fait de renouer le contact avec son père n'engendre pas chez le mineur des réactions négatives, qui porteraient atteinte à son bien-être. La recourante a conclu à ce que le droit de visite s'exerce au sein du Point rencontre, en modalité "un pour un". Une telle exigence paraît toutefois excessive. Les experts n'ont en effet pas préavisé l'exercice du droit de visite en présence d'un tiers, dans la mesure où il n'existait pas, selon eux, d'inquiétudes particulières qui rendraient nécessaire une médiatisation du droit de visite, étant relevé que les experts ont tenu compte, dans leur réponse, de la possibilité que le père tienne devant l'enfant des propos critiques à l'égard de la mère. Il paraît dès lors suffisant que le droit de visite s'exerce au sein du Point rencontre en modalité "accueil", ce qui permettra aux éducateurs de constater l'état de l'enfant au terme de la visite; leur présence dans les locaux sera également de nature à rassurer le mineur, si nécessaire. Pour le surplus, la recourante ne saurait tirer argument du fait que l'enfant G______ n'aurait pas verbalisé son souhait de revoir son père, les experts ayant expliqué que compte tenu de son jeune âge ce fait n'était pas significatif et que par ailleurs son avis pouvait fluctuer d'un jour à l'autre. Enfin, c'est à raison que le Tribunal de protection n'a pas suivi l'avis du SPMI exprimé lors de l'audience du 26 juin 2024. D'une part cet avis était contraire aux recommandations formulées dans le rapport d'expertise et d'autre part il était contradictoire, puisque la représentante du SPMI avait commencé par indiquer s'en remettre aux conclusions des experts avant de préaviser un droit</w:t>
      </w:r>
    </w:p>
    <w:p>
      <w:r>
        <w:t>- 11/13 -</w:t>
      </w:r>
    </w:p>
    <w:p>
      <w:r>
        <w:t>C/13461/2013-CS de visite selon la modalité "un pour un". Le SPMI n'ayant pas répondu au recours, son avis sur ce point n'a par conséquent pas pu être clairement déterminé. La recourante a également conclu à ce que les visites soient limitées à une heure chaque week-end au lieu de deux. Il se justifie de donner une suite favorable à cette requête. Dans la mesure où le droit de visite s'exercera au sein du Point rencontre, les activités pouvant y être exercées seront limitées et statiques et surtout le mineur G______ sera seul avec son père, aucun droit de visite n'ayant été prévu sur son frère et sa sœur. De surcroît, dans la mesure où il convient d'éviter que les parents puissent se croiser, le temps de battement prévu par le Tribunal de protection sera maintenu. Il en résulte que G______ devra en réalité passer deux heures et demie au sein du Point rencontre, sans bénéficier de la présence de son frère et de sa sœur, ce qui paraît excessif compte tenu de son jeune âge. La durée des visites sera par conséquent fixée à une heure, à laquelle s'ajoutera le temps de battement. Au vu de ce qui précède, le droit de visite réservé à B______ sur son fils G______ sera exercé à raison d'une heure chaque week-end, le samedi ou le dimanche, au sein du Point rencontre, en modalité "accueil", avec un temps de battement de quinze minutes entre l'arrivée et le départ de chaque parent. Le chiffre 1 du dispositif de l'ordonnance attaquée sera reformulé dans ce sens.</w:t>
      </w:r>
    </w:p>
    <w:p>
      <w:r>
        <w:rPr>
          <w:b/>
        </w:rPr>
        <w:t>E. 2.3</w:t>
      </w:r>
    </w:p>
    <w:p>
      <w:r>
        <w:t>L'ordonnance du 26 juin 2024 n'étant pas contestée pour le surplus, elle sera confirmée.</w:t>
      </w:r>
    </w:p>
    <w:p>
      <w:r>
        <w:rPr>
          <w:b/>
        </w:rPr>
        <w:t>E. 3</w:t>
      </w:r>
    </w:p>
    <w:p>
      <w:r>
        <w:t>La procédure de recours, qui portait exclusivement sur les modalités des relations personnelles, n'est pas gratuite (art. 77, 81 al. 1 LaCC a contrario).</w:t>
      </w:r>
    </w:p>
    <w:p>
      <w:r>
        <w:t>Compte tenu de l'issue du litige et de sa nature familiale, les frais judiciaires, arrêtés à 800 fr. (art. 67A et 67B RTFMC), seront mis à la charge de la recourante et de B______ par moitié chacun.</w:t>
      </w:r>
    </w:p>
    <w:p>
      <w:r>
        <w:t>La part mise à la charge de la recourante, en 400 fr., sera compensée avec l'avance de frais versée par celle-ci, qui reste acquise à l'Etat de Genève. La part incombant à B______ sera provisoirement laissée à la charge de l'Etat de Genève, vu le bénéfice de l'assistance judiciaire.</w:t>
      </w:r>
    </w:p>
    <w:p>
      <w:r>
        <w:t>Pour les mêmes motifs, chaque partie supportera ses propres dépens de recours. * * * * *</w:t>
      </w:r>
    </w:p>
    <w:p>
      <w:r>
        <w:t>- 12/13 -</w:t>
      </w:r>
    </w:p>
    <w:p>
      <w:r>
        <w:t>C/13461/2013-CS</w:t>
      </w:r>
    </w:p>
    <w:p>
      <w:r>
        <w:t>PAR CES MOTIFS, La Chambre de surveillance : A la forme : Déclare recevable le recours formé par A______ contre l'ordonnance DTAE/6633/2024 rendue le 26 juin 2024 par le Tribunal de protection de l'adulte et de l'enfant dans la cause C/13461/2013. Au fond : Annule le chiffre 1 du dispositif de l'ordonnance attaquée et, statuant à nouveau sur ce point : Réserve à B______ un droit de visite sur son fils G______ devant s'exercer à raison d'une heure chaque week-end, le samedi ou le dimanche, au sein du Point rencontre, en modalité "accueil", avec un temps de battement de quinze minutes entre l'arrivée et le départ de chaque parent. Confirme pour le surplus l'ordonnance attaquée. Sur les frais : Arrête les frais de la procédure de recours à 800 fr. et les met à la charge de A______ et de B______ à raison de la moitié chacun. Compense la part mise à la charge de A______, en 400 fr., avec l'avance versée, qui reste acquise à l'Etat de Genève. Dit que la part mise à la charge de B______ est provisoirement assumée par l'Etat de Genève. Dit qu'il n'est pas alloué de dépens de recours. Siégeant : Monsieur Cédric-Laurent MICHEL, président; Mesdames Paola CAMPOMAGNANI et Jocelyne DEVILLE-CHAVANNE, juges; Madame Carmen FRAGA, greffière.</w:t>
      </w:r>
    </w:p>
    <w:p>
      <w:r>
        <w:t>- 13/13 -</w:t>
      </w:r>
    </w:p>
    <w:p>
      <w:r>
        <w:t>C/13461/2013-CS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