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DAS/106/2025 vom 18. Juni 2025</w:t>
      </w:r>
    </w:p>
    <w:p>
      <w:r>
        <w:t>GE Cour de justice, 2025-06-18, FR</w:t>
      </w:r>
    </w:p>
    <w:p>
      <w:r>
        <w:rPr>
          <w:b/>
        </w:rPr>
        <w:t xml:space="preserve">Quelle: </w:t>
      </w:r>
      <w:r>
        <w:t>https://mcp.opencaselaw.ch/entscheid/ge_gerichte_DAS_106_2025</w:t>
      </w:r>
    </w:p>
    <w:p>
      <w:r>
        <w:t>FR: GE_GERICHTE DAS/106/2025 du 18 juin 2025</w:t>
      </w:r>
    </w:p>
    <w:p>
      <w:r>
        <w:t>IT: GE_GERICHTE DAS/106/2025 del 18 giugno 2025</w:t>
      </w:r>
    </w:p>
    <w:p>
      <w:pPr>
        <w:pStyle w:val="Heading2"/>
      </w:pPr>
      <w:r>
        <w:t>Erwägungen</w:t>
      </w:r>
    </w:p>
    <w:p>
      <w:r>
        <w:rPr>
          <w:b/>
        </w:rPr>
        <w:t>E. 1</w:t>
      </w:r>
    </w:p>
    <w:p>
      <w:r>
        <w:t>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concernée par la décision litigieuse, dans le délai utile de dix jours applicable aux mesures provisionnelles (art. 445 al. 3 CC) et suivant la forme prescrite, le recours est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w:t>
      </w:r>
    </w:p>
    <w:p>
      <w:r>
        <w:t>- 8/10 -</w:t>
      </w:r>
    </w:p>
    <w:p>
      <w:r>
        <w:t>C/15362/2022-CS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w:t>
      </w:r>
    </w:p>
    <w:p>
      <w:r>
        <w:rPr>
          <w:b/>
        </w:rPr>
        <w:t>E. 2.2</w:t>
      </w:r>
    </w:p>
    <w:p>
      <w:r>
        <w:t>En l'espèce, il ressort du rapport d'expertise du 29 juillet 2022 que le recourant présente un trouble de la personnalité dyssociale, les experts ayant également relevé une impulsivité importante; une propension à des actes violents impulsifs, qu'il tentait de réfréner, avait été observée. Le recourant a par ailleurs reconnu, devant les experts, éprouver de la difficulté à gérer ses émotions et son impulsivité. Il n'a par ailleurs pas sérieusement contesté les propos rapportés par B______ relatifs au déroulement de deux droits de visite exercés durant le mois d'octobre 2024. Il n'existe au demeurant aucune raison de considérer que B______ aurait inventé les événements qu'elle a relatés, étant relevé qu'elle n'a jamais manifesté d'opposition à ce que le recourant entretienne des relations personnelles avec la mineure E______. Même en admettant que cette dernière, dont il sera rappelé qu'elle était âgée de moins de trois ans en octobre 2024, ait pu dire, à sa manière, que le recourant n'était pas son papa, de tels propos ne sauraient justifier l'attitude punitive adoptée par le recourant à son encontre. De même, un éventuel problème relatif aux couches de l'enfant ne justifiait pas la multiplication des appels téléphoniques à B______ puis à sa fille F______, en présence de la petite E______, à laquelle le recourant aurait plutôt dû vouer toute son attention et qui doit être tenue à l'écart des querelles entre ses parents. Le fait d'avoir soutenu que la mineure s'était blessée en tombant et devait être conduite aux Urgences alors que tel n'était pas le cas est également constitutif d'un comportement aussi</w:t>
      </w:r>
    </w:p>
    <w:p>
      <w:r>
        <w:t>- 9/10 -</w:t>
      </w:r>
    </w:p>
    <w:p>
      <w:r>
        <w:t>C/15362/2022-CS incompréhensible qu'inadéquat. La mineure E______ a certes besoin, pour grandir harmonieusement, d'entretenir des relations personnelles avec ses deux parents. Elle ne saurait toutefois être exposée, durant le droit de visite, aux sautes d'humeur et au comportement erratique de son père, qui ne semble pas mesurer les conséquences de ses paroles et de ses actes sur une enfant aussi jeune. Au vu de ce qui précède, c'est à juste titre que le Tribunal de protection a, sur mesures provisionnelles, limité les relations personnelles entre le recourant et sa fille à une visite par semaine, par l'intermédiaire de H______, ce qui devrait aider l'intéressé à canaliser ses propos et à se recentrer sur le bien-être et les besoins de l'enfant. Il sera par ailleurs relevé que lesdites visites auraient pu être organisées plus tôt si le recourant ne les avait pas refusées dans un premier temps, avant de se raviser un mois plus tard, perdant ainsi un temps précieux. Infondé, le recours sera rejeté.</w:t>
      </w:r>
    </w:p>
    <w:p>
      <w:r>
        <w:rPr>
          <w:b/>
        </w:rPr>
        <w:t>E. 3</w:t>
      </w:r>
    </w:p>
    <w:p>
      <w:r>
        <w:t>La procédure, qui porte sur les relations personnelles, n'est pas gratuite (art. 77 et 81 al. 1 LaCC a contrario). Les frais judiciaires seront arrêtés à 400 fr., mis à la charge du recourant, qui succombe, et assumés provisoirement par l'Etat de Genève, compte tenu du bénéfice de l'assistance judiciaire.</w:t>
      </w:r>
    </w:p>
    <w:p>
      <w:r>
        <w:t>Il n'y a pas lieu à l'allocation de dépens (art. 107 al. 1 let. c CPC). * * * * *</w:t>
      </w:r>
    </w:p>
    <w:p>
      <w:r>
        <w:t>- 10/10 -</w:t>
      </w:r>
    </w:p>
    <w:p>
      <w:r>
        <w:t>C/15362/2022-CS PAR CES MOTIFS, La Chambre de surveillance : A la forme : Déclare recevable le recours formé par A______ contre l'ordonnance DTAE/9933/2024 du 25 octobre 2024 rendue par le Tribunal de protection de l'adulte et de l'enfant dans la cause C/15362/2022. Au fond : Le rejette. Déboute le recourant de toutes autres conclusions. Sur les frais : Arrête les frais judiciaires à 400 fr., les met à la charge de A______ et dit qu'ils sont provisoirement assumés par l'Etat de Genève, compte tenu du bénéfice de l'assistance judiciaire. Siégeant : Madame Jocelyne DEVILLE-CHAVANNE, présidente;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