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DAS/106/2020 vom 30. Juni 2020</w:t>
      </w:r>
    </w:p>
    <w:p>
      <w:r>
        <w:t>GE Cour de justice, 2020-06-30, FR</w:t>
      </w:r>
    </w:p>
    <w:p>
      <w:r>
        <w:rPr>
          <w:b/>
        </w:rPr>
        <w:t xml:space="preserve">Quelle: </w:t>
      </w:r>
      <w:r>
        <w:t>https://mcp.opencaselaw.ch/entscheid/ge_gerichte_DAS_106_2020</w:t>
      </w:r>
    </w:p>
    <w:p>
      <w:r>
        <w:t>FR: GE_GERICHTE DAS/106/2020 du 30 juin 2020</w:t>
      </w:r>
    </w:p>
    <w:p>
      <w:r>
        <w:t>IT: GE_GERICHTE DAS/106/2020 del 30 giugno 2020</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un délai de dix jours (art. 314 al. 1 et 321 al. 2 CPC) selon que la valeur litigieuse est ou non d’au moins 10'000 fr. (art. 308 al. 2 CPC). En l’espèce, la cause est de nature pécuniaire et la valeur litigieuse est supérieure à 10'000 fr., au regard notamment des biens immobiliers figurant au procès- verbal d’inventaire du 18 janvier 2018. L’appel a été formé dans le délai et selon les formes prescrits par la loi par une personne se prévalant de la qualité d'exécuteur testamentaire, de sorte qu’il est recevable.</w:t>
      </w:r>
    </w:p>
    <w:p>
      <w:r>
        <w:t>- 7/13 -</w:t>
      </w:r>
    </w:p>
    <w:p>
      <w:r>
        <w:t>C/18182/2017</w:t>
      </w:r>
    </w:p>
    <w:p>
      <w:r>
        <w:rPr>
          <w:b/>
        </w:rPr>
        <w:t>E. 1.2</w:t>
      </w:r>
    </w:p>
    <w:p>
      <w:r>
        <w:t>Dans le cadre d’un appel, la Cour dispose d’un plein pouvoir d’examen, tant en fait qu’en droit (art. 310 CPC).</w:t>
      </w:r>
    </w:p>
    <w:p>
      <w:r>
        <w:rPr>
          <w:b/>
        </w:rPr>
        <w:t>E. 1.3</w:t>
      </w:r>
    </w:p>
    <w:p>
      <w:r>
        <w:t>Selon l'art. 1 let. b CPC, le Code de procédure civile règle la procédure applicable devant les juridictions cantonales, aux décisions judiciaires de la juridiction gracieuse. En matière de juridiction gracieuse, le CPC ne trouve ainsi directement application que lorsque le droit fédéral prescrit lui-même la compétence d'une autorité judiciaire, ce qui n'est pas le cas pour les mesures de sûretés successorales (art. 551 et suivants CC). C'est ainsi le canton qui désigne l'autorité compétente, et il doit également régler la procédure. S'il déclare le CPC applicable, celui-ci constitue du droit cantonal supplétif (ATF 139 III 225 consid. 2). La procédure en matière de mesures de sûretés successorales (art. 551 ss CC) n'étant pas réglée de manière exhaustive par le droit cantonal genevois, les dispositions du CPC sont appliquées à titre de droit cantonal supplétif dans les domaines non régis par les règles de procédure cantonales, sous réserve de leur compatibilité avec la maxime d'office applicable aux mesures de sûretés successorales tant en première qu'en seconde instance et avec la nature desdites mesures (DAS/256/2016 du 2 novembre 2016, consid. 4.1; DAS/116/2014 du 25 juin 2014, consid. 1; DAS/181/2013 du 28 octobre 2013 consid. 1.1; DAS/249/2011 du 15 décembre 2011 consid. 2).</w:t>
      </w:r>
    </w:p>
    <w:p>
      <w:r>
        <w:rPr>
          <w:b/>
        </w:rPr>
        <w:t>E. 1.4</w:t>
      </w:r>
    </w:p>
    <w:p>
      <w:r>
        <w:t>Les parties ont produit des pièces nouvelles en appel.</w:t>
      </w:r>
    </w:p>
    <w:p>
      <w:r>
        <w:rPr>
          <w:b/>
        </w:rPr>
        <w:t>E. 1.4.1</w:t>
      </w:r>
    </w:p>
    <w:p>
      <w:r>
        <w:t>Les faits et moyens de preuve nouveaux ne sont pris en compte qu'aux conditions suivantes : ils sont invoqués ou produits sans retard; ils ne pouvaient être invoqués ou produits devant la première instance bien que la partie qui s'en prévaut ait fait preuve de la diligence requise (art. 317 al. 1 CPC).</w:t>
      </w:r>
    </w:p>
    <w:p>
      <w:r>
        <w:rPr>
          <w:b/>
        </w:rPr>
        <w:t>E. 1.4.2</w:t>
      </w:r>
    </w:p>
    <w:p>
      <w:r>
        <w:t>Il découle de ce qui précède que toutes les pièces nouvelles antérieures au</w:t>
      </w:r>
    </w:p>
    <w:p>
      <w:r>
        <w:rPr>
          <w:b/>
        </w:rPr>
        <w:t>E. 6</w:t>
      </w:r>
    </w:p>
    <w:p>
      <w:r>
        <w:t>novembre 2019, date à laquelle la Justice de paix a gardé la cause à juger seront irrecevables, soit notamment les pièces 20, 21 et 22 produites par l'appelant, celui-ci n'ayant au demeurant pas expliqué les motifs qui l'auraient empêché de produire les relevés de la carte bancaire du de cujus sur son compte F______ (France) SA devant le premier juge. Vu l'issue du litige, ces pièces ne sont au demeurant pas pertinentes. 2. Le recourant conteste la compétence ratione loci de la Justice de paix pour prononcer des mesures conservatoires dans le cadre de la succession de E______. 2.1.1 La Suisse et la France ne sont liées par aucun traité en matière de succession. La Loi sur le droit international privé (ci-après : LDIP) est donc</w:t>
      </w:r>
    </w:p>
    <w:p>
      <w:r>
        <w:t>- 8/13 -</w:t>
      </w:r>
    </w:p>
    <w:p>
      <w:r>
        <w:t>C/18182/2017 applicable au cas d'espèce, qui présente un élément d'extranéité, feu E______, de nationalité française, domicilié légalement en Suisse, étant décédé à l'étranger. 2.1.2 Aux termes de l'art. 86 al. 1 LDIP, les autorités judiciaires ou administratives suisses du dernier domicile du défunt sont compétentes pour prendre les mesures nécessaires au règlement de la succession et connaître des litiges successoraux. Est réservée la compétence exclusive revendiquée par l’État du lieu de situation des immeubles (al. 2). La succession d'une personne qui avait son dernier domicile en Suisse est régie par le droit suisse (art. 90 al. 1 LDIP), tandis que la succession d'une personne qui a eu son dernier domicile à l'étranger est régie par le droit que désignent les règles de droit international privé de l'Etat dans lequel le défunt était domicilié (art. 91 al. 1 LDIP). 2.1.3 En vertu de l'art. 20 al. 1 let. a LDIP, qui repose sur les mêmes critères que l'art. 23 al. 1 CC (ATF 119 II 167 consid. 2b), une personne physique a son domicile dans l'Etat dans lequel elle réside avec l'intention de s'y établir (arrêt du Tribunal fédéral 5A_278/2017 du 19 juin 2017 consid. 3.1 et les références citées). La notion de domicile comporte deux éléments : l'un objectif, la présence physique en un lieu donné; l'autre subjectif, l'intention d'y demeurer durablement (ATF 141 V 530 consid. 5.2; 136 II 405 consid. 4.3; 125 III 100 consid. 3). Le domicile correspond, en principe, au lieu où se focalisent un maximum d'éléments concernant la vie personnelle, sociale et professionnelle de l'intéressé (ATF 141 V 530 consid. 5.2; 136 II 405 consid. 4.3; 125 III 100 consid. 3). En effet, le critère principal de détermination du domicile d'une personne reste celui du centre de ses relations personnelles, en particulier des relations familiales. Le juge de paix qui doit prendre des mesures conservatoires ne tranche aucune question de droit matériel et se limite par conséquent à un examen sommaire de sa compétence ratione loci pour les prononcer. Il ne règle ainsi pas définitivement cette question, puisqu'il appartient au juge civil éventuellement chargé d'une procédure au fond (contestation de dispositions testamentaires, action en partage, action en réduction, etc…) de se prononcer sur sa compétence ratione loci, si cette dernière est remise en cause devant lui (DAS/124/2019 du 18 juin 2019; DAS/65/2020 du 29 avril 2020). 2.1.4 La Justice de paix est compétente pour assurer la dévolution des successions au sens de la Loi d’application du Code civil (ci-après : LaCC), lorsque la personne décédée était domiciliée à Genève.</w:t>
      </w:r>
    </w:p>
    <w:p>
      <w:r>
        <w:t>Selon l'art. 551 CC, l'autorité compétente est tenue de prendre d'office les mesures nécessaires pour assurer la dévolution de l'hérédité (al. 1). Ces mesures</w:t>
      </w:r>
    </w:p>
    <w:p>
      <w:r>
        <w:t>- 9/13 -</w:t>
      </w:r>
    </w:p>
    <w:p>
      <w:r>
        <w:t>C/18182/2017 sont notamment, dans les cas prévus par la loi, l'apposition des scellés, l'inventaire, l'administration d'office et l'ouverture des testaments (al. 2). Les mesures de sûreté sont prises dans une procédure gracieuse destinée uniquement à assurer la dévolution des biens de la succession, et non à trancher les litiges entre ayants droit (PIOTET, Droit successoral, Traité de droit privé suisse, 1975, p. 623, arrêt du Tribunal fédéral 5A_763/2012 consid. 5.1.1). 2.2 L'appelant considère que les pièces qu'il a produites démontrent à satisfaction que le de cujus était en réalité domicilié depuis mars 2015 près de J______ en France et non plus à Genève, de sorte que la Justice de paix n'était pas compétente à raison du lieu pour prendre des mesures conservatoires dans le cadre de la succession. En l'espèce, une procédure au fond oppose les parties devant le juge civil, l'appelant ayant indiqué qu'il invoquerait l'incompétence des tribunaux genevois dans ce cadre. Aucune décision n'a cependant été rendue sur cette question en l'état par le juge civil. Quoi qu'il en soit, le pouvoir de cognition du juge de paix est limité à statuer sur ses propres prérogatives, soit en l'espèce le prononcé de mesures conservatoires visant à la dévolution de la succession, sans empiéter sur celles du juge civil ordinaire. C'est en l'état ce qu'a fait le juge de paix, qui a procédé à un examen sommaire et provisoire des dispositions légales topiques et des pièces versées à la procédure pour fonder sa compétence ratione loci à prononcer des mesures conservatoires. Cet examen n'est cependant pas définitif et ne lie pas le juge civil qui sera appelé à examiner sa compétence dans le cadre de la procédure pendante devant lui. C'est ainsi à raison que le juge de paix n'a pas précisé dans le dispositif de sa décision que les autorités suisses étaient compétentes pour connaître de la succession de feu E______, ce qui aurait excédé ses compétences, et s'est contenté d'examiner préalablement, dans le cadre de sa propre compétence uniquement, s'il était compétent ratione loci. Il reste à examiner si le juge de paix était fondé à retenir prime facie que le dernier domicile du défunt se situait à Genève. Le juge de paix a considéré que la résiliation du bail de l'appartement sis [no.] ______ rue 1______ à Genève par le de cujus en mars 2015 ne suffisait pas à considérer que celui-ci s'était constitué un nouveau domicile à l'étranger. Il ressort en effet des pièces produites que le de cujus était locataire d'un appartement en attique de 153 m2 situé au 5ème étage de l'immeuble précité qu'il a résilié pour le 31 mars 2015. Si certes, l'appelant a produit la lettre de la Régie S______ SA relative à un état des lieux préliminaire du 15 janvier 2015 et un courriel du 19 mars 2015, fixant la date d'un état des lieux de sortie définitif au 30 mars 2015 de cet appartement, il n'a cependant pas produit le document attestant de la remise des clés de l'appartement, seul élément propre à considérer que l'appartement a été effectivement restitué. Le de cujus, domicilié légalement à cette adresse, et inscrit comme tel au registre cantonal de la population sans</w:t>
      </w:r>
    </w:p>
    <w:p>
      <w:r>
        <w:t>- 10/13 -</w:t>
      </w:r>
    </w:p>
    <w:p>
      <w:r>
        <w:t>C/18182/2017 modification jusqu'à son décès, a continué à indiquer cette adresse comme étant son domicile après le 30 mars 2015 et ce, jusqu'à son décès, de sorte qu'il ne peut être exclu qu'il ait finalement conservé ce logement ou loué un autre appartement dans le même immeuble. Cette adresse figure en effet notamment sur son jugement de divorce rendu par le Tribunal de première instance de Genève le 30 septembre 2016, sur son testament olographe établi le 22 janvier 2017 et sur l'extrait du Registre du commerce relatif à la société T______ SA. L'appelant lui-même n'a jamais remis en cause le fait que son frère E______ était domicilié à cette adresse genevoise à son décès, jusqu'à la décision présentement contestée. Il a, au contraire, personnellement adressé le 13 août 2017 l'acte de décès de son frère à la Justice de paix accompagné du testament du 22 janvier 2017 et sollicité la délivrance d'un certificat d'exécuteur testamentaire. Il a ensuite expressément indiqué à l'Administration fiscale, lors de l'inventaire effectué par cette dernière, que l'adresse [no.] ______ rue 1______ à Genève était le domicile principal de son frère, tandis que la maison sise à G______ était une résidence secondaire de ce dernier. L'appelant est encore intervenu à plusieurs reprises auprès de la Justice de paix, soit notamment le 18 septembre 2017 pour solliciter l'autorisation de payer des factures d'assurance véhicules et habitation pour le Château P______ (France), propriété du de cujus, puis le 21 octobre 2017 pour contester la qualité d'héritiers de sa mère, de son second frère et de l'ex-épouse du défunt. Il n'a jamais indiqué à la Justice de paix à ces occasions que son frère n'était pas domicilié à Genève, ni n'a réagi aux décisions rendues par cette dernière jusqu'alors pour infirmer le domicile genevois de son frère. Les autres documents remis à la Justice de paix ne sont pas probants à cet égard. Il n'est pas contesté que le de cujus, de nationalité française, était propriétaire de plusieurs biens immobiliers dans son pays. L'appelant se prévaut du paiement par le de cujus des taxes d'habitation en France en 2015 et 2016, ainsi que d'une facture de gaz, concernant la maison de G______ pour considérer que le de cujus était en réalité domicilié en ce lieu. Or, les intimés ont démontré à satisfaction de droit que les taxes d'habitation sont dues en France même sur les résidences secondaires, de sorte que la production de ces documents ne constitue pas une preuve de domicile à l'étranger du de cujus. De même, la mention de l'adresse de correspondance du compte F______ (France) SA du de cujus rattachée à sa résidence française n'est également pas un élément probant, l'adresse de correspondance pouvant différer de celle du domicile du titulaire du compte, ce d'autant que la monnaie de ce compte est en euros. Curieusement, l'appelant n'a pas produit les relevés des autres comptes bancaires suisses du de cujus, qui probablement mentionnaient l'adresse genevoise de ce dernier, ni n'a expliqué comment ce dernier recevait sa correspondance en Suisse (banque, impôts, assurances,…). Quant à l'exercice consistant à disséquer les relevés bancaires du de cujus, il excède manifestement l'examen sommaire que le juge</w:t>
      </w:r>
    </w:p>
    <w:p>
      <w:r>
        <w:t>- 11/13 -</w:t>
      </w:r>
    </w:p>
    <w:p>
      <w:r>
        <w:t>C/18182/2017 de paix est amené à effectuer pour déterminer préalablement sa compétence à raison du lieu, avant de prendre des mesures conservatoires. Le fait que le de cujus soit demeuré plusieurs mois dans sa résidence secondaire ou se soit fait soigner à l'hôpital de J______ ne constituent de toute façon pas encore la démonstration d'une volonté irréfutable de sa part de changer de résidence principale. En conséquence, c'est à bon droit que le juge de paix a considéré, prima facie, que le dernier domicile du de cujus se trouvait à Genève, au vu des éléments en sa possession. 3. 3.1 Après la remise du testament, l'autorité envoie les héritiers légaux en possession provisoire des biens ou ordonne l'administration d'office; si possible, les intéressés seront entendus (art. 556 al. 3 CC). Comme la décision de l'autorité prise en application de l'art. 556 al. 3 CC est une mesure provisoire, elle peut la modifier en tout temps (MEIER/REYMOND- ENIAEVA, CR CC II, art. 556 CC n. 13). L'autorité doit ordonner l'administration d'office à défaut d'héritiers légaux auxquels l'administration des biens peut être confiée ou lorsqu'elle considère que la gestion provisoire par les héritiers légaux ou par l'exécuteur testamentaire représente un risque particulier pour la délivrance de biens aux héritiers. L'administration d'office doit par exemple être ordonnée lorsqu'il y a un désaccord entre les héritiers, que la situation de ceux-ci n'est pas claire ou que l'on peut craindre que les héritiers légaux lèsent une personne qui a été favorisée à leur détriment. L'autorité compétente doit prendre en considération toutes les circonstances du cas particulier pour évaluer le risque d'atteinte à la dévolution de l'hérédité en cas de gestion provisoire par les héritiers légaux ou par l'exécuteur testamentaire (MEIER/REYMOND-ENIAEVA, op. cit. n. 15). 3.2 En l'espèce, l'appelant n'a pas remis en cause les mesures conservatoires prises par la Justice de paix dans l'hypothèse où sa compétence serait admise et ce, à raison. En effet, eu égard à la procédure en nullité du testament pendante devant le Tribunal de première instance, portant également sur la disposition le désignant exécuteur testamentaire de la succession, c'est à juste titre que le juge de paix a suspendu les pouvoirs de A______ en sa qualité d'exécuteur testamentaire et a ordonné une administration d'office de la succession. En effet, il peut être considéré que la gestion provisoire des biens de la succession par l'appelant représente un risque pour la délivrance de biens aux autres éventuels héritiers, compte tenu du litige qui les oppose. La décision sera ainsi confirmée.</w:t>
      </w:r>
    </w:p>
    <w:p>
      <w:r>
        <w:t>- 12/13 -</w:t>
      </w:r>
    </w:p>
    <w:p>
      <w:r>
        <w:t>C/18182/2017 4. La procédure n'est pas gratuite (art. 19 LaCC). Les frais judiciaires, arrêtés à 500 fr., seront mis à la charge de l'appelant qui succombe (art. 106 CPC) et compensés avec l'avance de frais du même montant qui demeure acquise à l'Etat de Genève (art. 111 al. 1 CPC). Il ne sera pas alloué de dépens. * * * * *</w:t>
      </w:r>
    </w:p>
    <w:p>
      <w:r>
        <w:t>- 13/13 -</w:t>
      </w:r>
    </w:p>
    <w:p>
      <w:r>
        <w:t>C/18182/2017 PAR CES MOTIFS, La Chambre civile : A la forme : Déclare recevable l'appel formé le 9 décembre 2019 par A______ contre la décision DJP/572/2019 rendue le 26 novembre 2019 par la Justice de paix dans la cause C/18182/2017. Au fond : Le rejette. Sur les frais : Arrête les frais judiciaires d'appel à 500 fr., les met à la charge de A______ et les compense avec l'avance versée, qui reste acquise à l'Etat de Genève.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