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DAS/106/2017 vom 8. Juni 2017</w:t>
      </w:r>
    </w:p>
    <w:p>
      <w:r>
        <w:t>GE Cour de justice, 2017-06-08, FR</w:t>
      </w:r>
    </w:p>
    <w:p>
      <w:r>
        <w:rPr>
          <w:b/>
        </w:rPr>
        <w:t xml:space="preserve">Quelle: </w:t>
      </w:r>
      <w:r>
        <w:t>https://mcp.opencaselaw.ch/entscheid/ge_gerichte_DAS_106_2017</w:t>
      </w:r>
    </w:p>
    <w:p>
      <w:r>
        <w:t>FR: GE_GERICHTE DAS/106/2017 du 8 juin 2017</w:t>
      </w:r>
    </w:p>
    <w:p>
      <w:r>
        <w:t>IT: GE_GERICHTE DAS/106/2017 del 8 giugno 2017</w:t>
      </w:r>
    </w:p>
    <w:p>
      <w:pPr>
        <w:pStyle w:val="Heading2"/>
      </w:pPr>
      <w:r>
        <w:t>Erwägungen</w:t>
      </w:r>
    </w:p>
    <w:p>
      <w:r>
        <w:rPr>
          <w:b/>
        </w:rPr>
        <w:t>E. 1</w:t>
      </w:r>
    </w:p>
    <w:p>
      <w:r>
        <w:t>Le requérant étant domicilié à Genève, la Cour de justice est compétente pour se prononcer sur la requête d'adoption (art. 268 al. 1 CC; art. 120 al. 1 let. c LOJ).</w:t>
      </w:r>
    </w:p>
    <w:p>
      <w:r>
        <w:rPr>
          <w:b/>
        </w:rPr>
        <w:t>E. 2</w:t>
      </w:r>
    </w:p>
    <w:p>
      <w:r>
        <w:t>Le requérant demande à la Cour de prononcer l'adoption de B______ par lui- même.</w:t>
      </w:r>
    </w:p>
    <w:p>
      <w:r>
        <w:rPr>
          <w:b/>
        </w:rPr>
        <w:t>E. 2.1</w:t>
      </w:r>
    </w:p>
    <w:p>
      <w:r>
        <w:t>A teneur de l'art. 266 al. 1 CC, en l'absence de descendant, une personne majeure peut être adoptée notamment lorsque durant sa minorité les parents adoptifs ont fourni des soins et ont pourvu à son éducation pendant cinq ans au moins (ch. 2) ou lorsqu'il y a d'autres justes motifs et qu'elle a vécu pendant cinq ans en communauté domestique avec les parents adoptifs (ch. 3).</w:t>
      </w:r>
    </w:p>
    <w:p>
      <w:r>
        <w:t>L'adoption d'une personne majeure a été conçue par le législateur comme exceptionnelle, ne pouvant être admise qu'en présence d'une situation "comparable" à celle qui recommande l'adoption des mineurs. Ainsi, le législateur a entendu instituer une cautèle destinée à garantir que l'adoption des majeurs repose sur l'établissement entre l'adoptant et l'adopté de liens affectifs étroits destinés à apparenter la filiation adoptive à la filiation naturelle (ATF 101 II 3).</w:t>
      </w:r>
    </w:p>
    <w:p>
      <w:r>
        <w:t>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l'adoptant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inversément peut en particulier parler en faveur de l'existence d'un tel lien (arrêt du Tribunal fédéral 5A_126/2013 du 13 juin 2013 consid. 4.1).</w:t>
      </w:r>
    </w:p>
    <w:p>
      <w:r>
        <w:t>L'adoption d'un majeur au sens du ch. 2, soit lorsque les futurs parents adoptifs ont fourni pendant au moins cinq ans soins et éducation à l'adopté durant sa minorité, présuppose qu'un fort lien psychosocial subsiste entre l'adopté et les</w:t>
      </w:r>
    </w:p>
    <w:p>
      <w:r>
        <w:t>- 4/6 -</w:t>
      </w:r>
    </w:p>
    <w:p>
      <w:r>
        <w:t>C/9629/2017-CS futurs parents adoptifs (BREITSCHMID, Zivilgesetzbuch I (Basler Kommentar), 2014, ad art. 266 n. 11). Par ailleurs, une communauté domestique au sens du ch. 3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(ATF 101 II 3).</w:t>
      </w:r>
    </w:p>
    <w:p>
      <w:r>
        <w:t>Enfin, les dispositions sur l'adoption des mineurs s'appliquent par analogie à l'adoption de majeurs (art. 266 al. 3 CC).</w:t>
      </w:r>
    </w:p>
    <w:p>
      <w:r>
        <w:rPr>
          <w:b/>
        </w:rPr>
        <w:t>E. 2.2</w:t>
      </w:r>
    </w:p>
    <w:p>
      <w:r>
        <w:t>En l'espèce, B______, née en 1992, est majeure. Elle a consenti à son adoption par A______, qui a été le compagnon de sa mère depuis 1998 jusqu'au décès de celle-ci en 2013, qui représente pour elle la figure paternelle depuis qu'elle a six ans et qu'elle considère comme son "père de cœur". Il ressort du dossier que durant quinze années, le requérant a partagé la vie de B______ et de sa mère. Ils ont quotidiennement pris leurs repas ensemble, et formé une communauté familiale en nouant des relations d'affection, en se procurant aide et attention de manière quotidienne, ce quand bien même le requérant et C______ ont chacun gardé leur propre appartement dans le même immeuble. Durant ces quinze années, le requérant a secondé sa compagne dans l'éducation et l'entretien de B______, a fourni affection, appui et soutien à cette dernière, dans sa scolarité comme dans sa vie privée. Ils ont en outre régulièrement voyagé et passé leurs vacances ensemble, participé aux fêtes de famille ainsi qu'aux traditions de la famille des parents du requérant, que B______ considère comme ses grands-parents de substitution. Ces éléments traduisent les liens affectifs étroits qui unissent B______ et le requérant, qui a assumé le rôle de père de celle-ci depuis qu'elle a six ans, et qui a continué à lui fournir son appui et son soutien dans les moments difficiles liés à la maladie puis au décès de sa mère. Les conditions posées par l'art. 266 al. 1 ch. 2 CC sont ainsi réalisées au regard des soins et de l'éducation fournis par le requérant à B______ pendant douze ans avant qu'elle atteigne sa majorité, et des liens étroits et de nature filiale qui les unissent. Il en va de même des conditions posées par les art. 264b al. 1 et 265 al. 1 CC, le requérant, né en 1958, étant âgé de cinquante-neuf ans, de sorte que B______ est de trente-quatre ans plus jeune que lui. Cette dernière a consenti à l'adoption requise (art. 265 al. 2 CC), le consentement de son père naturel n'étant par ailleurs pas nécessaire dès lors que l'adoptée est majeure (ATF 137 III 1).</w:t>
      </w:r>
    </w:p>
    <w:p>
      <w:r>
        <w:t>- 5/6 -</w:t>
      </w:r>
    </w:p>
    <w:p>
      <w:r>
        <w:t>C/9629/2017-CS La Chambre civile de la Cour de justice prononcera en conséquence l'adoption requise.</w:t>
      </w:r>
    </w:p>
    <w:p>
      <w:r>
        <w:rPr>
          <w:b/>
        </w:rPr>
        <w:t>E. 3</w:t>
      </w:r>
    </w:p>
    <w:p>
      <w:r>
        <w:t>Les frais de la procédure, arrêtés à 1'000 fr., sont mis à la charge du requérant. Ils sont entièrement compensés avec l'avance de même montant versée par celui-ci, qui reste acquise à l'Etat de Genève (art. 98, 101 et 111 CPC; 19 al. 3 let. a LaCC). * * * * *</w:t>
      </w:r>
    </w:p>
    <w:p>
      <w:r>
        <w:t>- 6/6 -</w:t>
      </w:r>
    </w:p>
    <w:p>
      <w:r>
        <w:t>C/9629/2017-CS PAR CES MOTIFS, La Chambre civile : Prononce l'adoption de B______, née le 1______ à Genève, originaire de Genève, par A______, né le 2______ à ______ (Genève), originaire de ______ (Thurgovie) et Genève. Arrête les frais judiciaires à 1'000 fr., les met à la charge de A______ et dit qu'ils sont entièrement compensés par l'avance de frais d'ores et déjà effectuée, qui reste acquise à l'Etat de Genève. Siégeant : Monsieur Cédric-Laurent MICHEL, président; Mesdames Paola CAMPOMAGNANI et Ursula ZEHETBAUER GHAVAMI, juges; Madame Carmen FRAGA, greffière.</w:t>
      </w:r>
    </w:p>
    <w:p>
      <w:r>
        <w:t>Annexes pour le Service de l'état civil : Pièces déposées par le requérant.</w:t>
      </w:r>
    </w:p>
    <w:p>
      <w:r>
        <w:t>Indication des voies de recours :</w:t>
      </w:r>
    </w:p>
    <w:p>
      <w:r>
        <w:t>Conformément aux articles 308ss du Code de procédure civile (CPC), la présente décision peut faire l’objet d’un appel par-devant la Chambre de surveillance de la Cour de justice dans les 30 jours qui suivent sa notification.</w:t>
      </w:r>
    </w:p>
    <w:p>
      <w:r>
        <w:t>L’appel doit être adressé à la Cour de justice, Chambre de surveillance, place du Bourg- 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