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DAS/106/2016 vom 21. Januar 2016</w:t>
      </w:r>
    </w:p>
    <w:p>
      <w:r>
        <w:t>GE Cour de justice, 2016-01-21, FR</w:t>
      </w:r>
    </w:p>
    <w:p>
      <w:r>
        <w:rPr>
          <w:b/>
        </w:rPr>
        <w:t xml:space="preserve">Quelle: </w:t>
      </w:r>
      <w:r>
        <w:t>https://mcp.opencaselaw.ch/entscheid/ge_gerichte_DAS_106_2016</w:t>
      </w:r>
    </w:p>
    <w:p>
      <w:r>
        <w:t>FR: GE_GERICHTE DAS/106/2016 du 21 janvier 2016</w:t>
      </w:r>
    </w:p>
    <w:p>
      <w:r>
        <w:t>IT: GE_GERICHTE DAS/106/2016 del 21 gennaio 2016</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la décision de retrait du droit de garde et de déterminer le lieu de résidence de son fils. Elle estime cette mesure disproportionnée et contraire au bien de l'enfant. Elle reproche par ailleurs au Tribunal de protection d'avoir prononcé ce retrait sans avoir au préalable ordonné une période d'évaluation plus longue.</w:t>
      </w:r>
    </w:p>
    <w:p>
      <w:r>
        <w:t>- 7/10 -</w:t>
      </w:r>
    </w:p>
    <w:p>
      <w:r>
        <w:t>C/22182/2015-CS</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2.2</w:t>
      </w:r>
    </w:p>
    <w:p>
      <w:r>
        <w:t>Dans les affaires relatives à la protection de l'enfant, le juge est lié par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(arrêts 5A_378/2014 du 30 juin 2014 consid. 3.1.2; 5A_877/2013 du 10 février 2014 consid. 4.1.1; AUER/MARTI, Basler Kommentar, Erwachsenenschutz, 2011, n° 8 ad art. 446 CC).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138 III 374 consid. 4.3.2 p. 376; 136 I 229 consid. 5.3 p. 236 s.; 134 I 140 consid. 5.3 p. 148; 115 Ia 97 consid. 5b p. 101). Ce principe vaut même lorsque la maxime inquisitoire s'applique (ATF 130 III 734 consid.</w:t>
      </w:r>
    </w:p>
    <w:p>
      <w:r>
        <w:rPr>
          <w:b/>
        </w:rPr>
        <w:t>E. 2.2.3</w:t>
      </w:r>
    </w:p>
    <w:p>
      <w:r>
        <w:t>p. 735 et les arrêts cités).</w:t>
      </w:r>
    </w:p>
    <w:p>
      <w:r>
        <w:rPr>
          <w:b/>
        </w:rPr>
        <w:t>E. 2.3</w:t>
      </w:r>
    </w:p>
    <w:p>
      <w:r>
        <w:t>En l'espèce, les éléments au dossier permettent de statuer sur le retrait du droit de garde et de déterminer le lieu de résidence de l'enfant. Les différents signalements adressés au Tribunal de protection, notamment celui émanant des médecins des Départements d'obstétrique, de néonathologie et de psychiatrie des HUG, ainsi que le rapport d'évaluation établi par le SPMi le 4 décembre 2015 sur la base des entretiens menés avec la recourante, sa mère, sa curatrice, l'assistante</w:t>
      </w:r>
    </w:p>
    <w:p>
      <w:r>
        <w:t>- 8/10 -</w:t>
      </w:r>
    </w:p>
    <w:p>
      <w:r>
        <w:t>C/22182/2015-CS sociale auprès des HUG, la psychiatre de liaison et la pédopsychiatre des HUG, puis enfin l'audition de la recourante et de la représentante du SPMi font en effet ressortir que l'enfant D.______, grand prématuré, a des besoins spécifiques en matière de suivi médical. Il présentait un retard de croissance important et des problèmes respiratoires, et des investigations plus avancées étaient nécessaires sur les plans cérébral et génétique. Dans le cadre du rapport transmis le 17 février 2016 dans la présente procédure de recours, le SPMi a relevé que l'enfant évoluait doucement, que ses problèmes de santé étaient en voie d'être diagnostiqués, que les traitements allaient pouvoir être mis sur pied, mais qu'ils nécessiteraient une prise en charge très spécifique et lourde.</w:t>
      </w:r>
    </w:p>
    <w:p>
      <w:r>
        <w:t>L'instruction menée par le Tribunal de protection fait en outre ressortir que la recourante n'est actuellement pas en mesure de répondre aux besoins spécifiques de l'enfant. Certes, la recourante rend assez régulièrement visite à son fils à l'hôpital; elle est en règle générale accompagnée de sa mère, et elle s'occupe bien de son bébé lorsqu'elle est psychiquement disponible. Les éléments au dossier permettent par ailleurs de retenir, sans qu'il soit nécessaire d'ordonner une évaluation de la situation sur une plus longue durée comme le sollicite à cet égard la recourante, que les relations entre la mère et l'enfant évoluent favorablement. Cet élément n'est toutefois pas seul déterminant pour évaluer le besoin de protection du mineur. La fragilité psychique de la recourante, son déni face aux troubles dont elle souffre, le refus qu'elle oppose au soutien que lui a proposé sa famille et à l'aide que lui ont offert les professionnels ne permettent pas en l'état de considérer qu'elle soit en mesure d'assumer la prise en charge de son enfant, en particulier en regard des besoins spécifiques et accrus de ce dernier. Sa fragilité psychique, les complications de sa grossesse et la situation conflictuelle avec ses parents ont conduit au prononcé de mesures de placement à des fins d'assistance en sa faveur. Elle explique certes avoir entamé un suivi thérapeutique, mais le déni de son trouble ainsi que le refus souvent opposé à l'aide qui lui était fournie ne permet pour l'heure pas encore de considérer qu'elle est en voie de régler ses difficultés personnelles. L'angoisse qu'elle a exprimé ressentir face à un environnement hospitalier et ses difficultés à accepter le retard de développement de son fils constitueront enfin autant de difficultés supplémentaires à surmonter. Enfin, les avis concordants des différents médecins entourant la recourante font état de sa désorganisation générale, de son fonctionnement psychotique, de sa fragilité psychique avec des côtés très infantiles, investissant son enfant de manière idéalisée sans se représenter les difficultés concrètes qu'implique la prise en charge effective d'un enfant. Ces éléments ne permettent pas de retenir que la recourante est à l'heure actuelle en mesure d'assumer la prise en charge quotidienne de son fils avec le suivi médical conséquent dont il a besoin.</w:t>
      </w:r>
    </w:p>
    <w:p>
      <w:r>
        <w:t>Le placement de l'enfant en famille d'accueil lorsque son état de santé lui permettra de quitter l'hôpital est une mesure adéquate pour le bien de l'enfant, en ce qu'elle lui procurera la structure nécessaire pour le suivi de ses traitements</w:t>
      </w:r>
    </w:p>
    <w:p>
      <w:r>
        <w:t>- 9/10 -</w:t>
      </w:r>
    </w:p>
    <w:p>
      <w:r>
        <w:t>C/22182/2015-CS médicaux tout en lui assurant un environnement familial stable et sécurisant. Ce placement doit, au vu de l'opposition de la recourante, être assorti du retrait de son droit de déterminer le lieu de résidence de l'enfant. Aucune mesure moins incisive ne permet enfin de garantir le besoin de protection de l'enfant, dès lors que la recourante ne dispose actuellement ni de la stabilité psychique nécessaire, ni de l'entourage familial suffisamment dense et structurant pour faire face à la prise en charge de l'enfant, que l'environnement hospitalier l'angoisse, qu'elle se sent dépourvue face aux problèmes de santé de son fils, et que des mesures d'accompagnement à domicile ne permettent pas de fournir le soutien nécessaire au bon développement de ce dernier.</w:t>
      </w:r>
    </w:p>
    <w:p>
      <w:r>
        <w:t>Il s'en suit que le retrait du droit de garde et de déterminer le lieu de résidence de l'enfant, ainsi que le placement de ce dernier à l'hôpital, puis au sein d'une famille d'accueil ordonnés par le Tribunal de protection sont des mesures adéquates et proportionnées.</w:t>
      </w:r>
    </w:p>
    <w:p>
      <w:r>
        <w:t>Elles seront en conséquence confirmées.</w:t>
      </w:r>
    </w:p>
    <w:p>
      <w:r>
        <w:rPr>
          <w:b/>
        </w:rPr>
        <w:t>E. 3</w:t>
      </w:r>
    </w:p>
    <w:p>
      <w:r>
        <w:t>La recourante ne fait valoir aucun grief spécifique quant aux autres mesures prononcées par le Tribunal de protection dans la décision querellée.</w:t>
      </w:r>
    </w:p>
    <w:p>
      <w:r>
        <w:rPr>
          <w:b/>
        </w:rPr>
        <w:t>E. 3.1</w:t>
      </w:r>
    </w:p>
    <w:p>
      <w:r>
        <w:t>Le droit de visite réservé à la recourante à raison de trois visites par semaine est adéquat en ce qu'il permet une bonne évolution des relations entre l'enfant et sa mère (art. 273 al. 1 CC). La curatelle d'organisation et de surveillance s'y rapportant apparaît nécessaire pour suivre le bon déroulement et l'évolution de ces relations, et la curatelle d'assistance éducative permet de soutenir la recourante dans son rôle parental (art. 308 al. 1 et 2 CC). Les ch. 5 à 7 du dispositif de l'ordonnance seront en conséquence confirmés.</w:t>
      </w:r>
    </w:p>
    <w:p>
      <w:r>
        <w:rPr>
          <w:b/>
        </w:rPr>
        <w:t>E. 3.2</w:t>
      </w:r>
    </w:p>
    <w:p>
      <w:r>
        <w:t>Les curatelles de surveillance et de financement du placement, ainsi que de représentation de l'enfant, avec gestion, l'autorité parentale étant limitée en conséquence, ainsi que de la désignation des curateurs à ces fonctions, se justifient également au regard des mesures de protection prises en faveur du mineur. Elles seront également confirmées.</w:t>
      </w:r>
    </w:p>
    <w:p>
      <w:r>
        <w:rPr>
          <w:b/>
        </w:rPr>
        <w:t>E. 4</w:t>
      </w:r>
    </w:p>
    <w:p>
      <w:r>
        <w:t>Les griefs invoqués par la recourante sont infondés. Le recours sera en conséquence rejeté.</w:t>
      </w:r>
    </w:p>
    <w:p>
      <w:r>
        <w:rPr>
          <w:b/>
        </w:rPr>
        <w:t>E. 5</w:t>
      </w:r>
    </w:p>
    <w:p>
      <w:r>
        <w:t>La procédure est gratuite (art. 81 al. 1 LaCC). * * * * *</w:t>
      </w:r>
    </w:p>
    <w:p>
      <w:r>
        <w:t>- 10/10 -</w:t>
      </w:r>
    </w:p>
    <w:p>
      <w:r>
        <w:t>C/22182/2015-CS PAR CES MOTIFS, La Chambre de surveillance : A la forme : Déclare recevable le recours formé le 21 janvier 2016 par A.______ contre l'ordonnance DTAE/5544/2015 rendue par le Tribunal de protection de l'adulte et de l'enfant le 17 décembre 2015 dans la cause C/22182/2015-7. Au fond : Rejette ce recours et confirme l'ordonnance querellée. Déboute A.______ de toutes autres conclusions. Sur les frais : Dit que la procédure est gratuite. Dit qu'il n'y a pas lieu à l'allocation de dépens.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