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DAS/104/2025 vom 28. Mai 2025</w:t>
      </w:r>
    </w:p>
    <w:p>
      <w:r>
        <w:t>GE Cour de justice, 2025-05-28, FR</w:t>
      </w:r>
    </w:p>
    <w:p>
      <w:r>
        <w:rPr>
          <w:b/>
        </w:rPr>
        <w:t xml:space="preserve">Quelle: </w:t>
      </w:r>
      <w:r>
        <w:t>https://mcp.opencaselaw.ch/entscheid/ge_gerichte_DAS_104_2025</w:t>
      </w:r>
    </w:p>
    <w:p>
      <w:r>
        <w:t>FR: GE_GERICHTE DAS/104/2025 du 28 mai 2025</w:t>
      </w:r>
    </w:p>
    <w:p>
      <w:r>
        <w:t>IT: GE_GERICHTE DAS/104/2025 del 28 maggio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w:t>
      </w:r>
    </w:p>
    <w:p>
      <w:r>
        <w:rPr>
          <w:b/>
        </w:rPr>
        <w:t>E. 1.2</w:t>
      </w:r>
    </w:p>
    <w:p>
      <w:r>
        <w:t>La Chambre de surveillance jouit d'un pouvoir de cognition complet (art. 450a al. 1 CC).</w:t>
      </w:r>
    </w:p>
    <w:p>
      <w:r>
        <w:rPr>
          <w:b/>
        </w:rPr>
        <w:t>E. 2</w:t>
      </w:r>
    </w:p>
    <w:p>
      <w:r>
        <w:t>2.1.1 Aux termes de l'art. 426 CC, une personne peut être placée dans une institution appropriée lorsqu'en raison de troubles psychiques, d'une déficience mentale ou d'un grave état d'abandon, l'assistance ou le traitement nécessaires ne peuvent lui être fournis d'une autre manière (al. 1).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Dans sa décision de placement à des fins d'assistance, le juge doit exposer tout d'abord sur la base de quels éléments de fait le tribunal a retenu l'existence d'un</w:t>
      </w:r>
    </w:p>
    <w:p>
      <w:r>
        <w:t>- 7/9 -</w:t>
      </w:r>
    </w:p>
    <w:p>
      <w:r>
        <w:t>C/17221/2004-CS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t>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2.1.2 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l'intégité corporelle d'autrui, lorsque la personne n'a pas la capacité de discernement requise pour saisir la nécessité du traitement et lorsqu'il n'existe pas de mesure appropriée moins rigoureuse. Ces conditions sont cumulatives (GUILLOD, CommFam 2013, no 10 ad art. 434). 2.2.1 En l'espèce, il est établi que la recourante souffre, depuis de nombreuses années, de troubles psychiatriques sévères, ayant nécessité plusieurs hospitalisations contre son gré. Aucun élément objectif ne permet de remettre en cause le diagnostic posé par les experts dans le cadre de la dernière expertise à laquelle la recourante a été soumise. Tant la révocation du sursis au placement à des fins d'assistance que la décision médicale de traitement sans consentement de la concernée étaient nécessaires au moment où le Tribunal de protection a statué. En effet, la concernée se trouvait en</w:t>
      </w:r>
    </w:p>
    <w:p>
      <w:r>
        <w:t>- 8/9 -</w:t>
      </w:r>
    </w:p>
    <w:p>
      <w:r>
        <w:t>C/17221/2004-CS rupture de traitement et de suivi, avec resurgence de ses symptômes et des risques hétéro-agressifs qui y sont associés. Il ressort par ailleurs des explications fournies par la Dre K______ lors de son audition par la Chambre de surveillance que l'état de la recourante, bien qu'amélioré, n'est pas encore stabilisé et que si la mesure devait être levée, elle présenterait à nouveau un risque hétéro-agressif. Il est en effet illusoire d'espérer, en l'état, que si la mesure de placement était levée, la recourante se fasse suivre volontairement par un psychiatre et prenne ses médicaments, compte tenu du fait qu'elle considère ne nécessiter aucun traitement, ses problèmes étant, selon elle, liés au fait que ses curateurs lui confisquent ses revenus et qu'elle ne peut pas acheter de médicaments pour soigner ses candidoses. Elle a par ailleurs clairement indiqué lors de son audition qu'elle entendait prendre son traitement à sa guise à sa sortie, considérant ne pas en avoir besoin la plupart du temps. Il est ainsi toujours nécessaire, afin d'obtenir une stabilisation de l'état de la concernée et une adhésion au traitement, de maintenir son placement à des fins d'assistance. La décision de traitement sans consentement est toujours également nécessaire, la concernée ne prenant son traitement per os que sous la menace d'une injection. Le recours, en tant qu'il porte sur la révocation du sursis au placement à des fins d’assistance de la recourante et son maintien en la Clinique B______, ainsi que sur la décision de traitement sans consentement, est dès lors infondé.</w:t>
      </w:r>
    </w:p>
    <w:p>
      <w:r>
        <w:rPr>
          <w:b/>
        </w:rPr>
        <w:t>E. 3</w:t>
      </w:r>
    </w:p>
    <w:p>
      <w:r>
        <w:t>La procédure est gratuite (art. 22 al. 4 LaCC). * * * * *</w:t>
      </w:r>
    </w:p>
    <w:p>
      <w:r>
        <w:t>- 9/9 -</w:t>
      </w:r>
    </w:p>
    <w:p>
      <w:r>
        <w:t>C/17221/2004-CS PAR CES MOTIFS, La Chambre de surveillance : A la forme : Déclare recevable le recours formé le 28 mai 2025 par A______ contre l'ordonnance DTAE/4261/2025 rendue le 20 mai 2025 par le Tribunal de protection de l'adulte et de l'enfant dans la cause C/17221/2004. Au fond : Rejette ce recours. Dit que la procédure est gratuite. Siégeant : Madame Jocelyne DEVILLE-CHAVANNE, présidente;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