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DAS/104/2015 vom 22. Juni 2015</w:t>
      </w:r>
    </w:p>
    <w:p>
      <w:r>
        <w:t>GE Cour de justice, 2015-06-22, FR</w:t>
      </w:r>
    </w:p>
    <w:p>
      <w:r>
        <w:rPr>
          <w:b/>
        </w:rPr>
        <w:t xml:space="preserve">Quelle: </w:t>
      </w:r>
      <w:r>
        <w:t>https://mcp.opencaselaw.ch/entscheid/ge_gerichte_DAS_104_2015</w:t>
      </w:r>
    </w:p>
    <w:p>
      <w:r>
        <w:t>FR: GE_GERICHTE DAS/104/2015 du 22 juin 2015</w:t>
      </w:r>
    </w:p>
    <w:p>
      <w:r>
        <w:t>IT: GE_GERICHTE DAS/104/2015 del 22 giugno 2015</w:t>
      </w:r>
    </w:p>
    <w:p>
      <w:pPr>
        <w:pStyle w:val="Heading2"/>
      </w:pPr>
      <w:r>
        <w:t>Erwägungen</w:t>
      </w:r>
    </w:p>
    <w:p>
      <w:r>
        <w:rPr>
          <w:b/>
        </w:rPr>
        <w:t>E. 1</w:t>
      </w:r>
    </w:p>
    <w:p>
      <w:r>
        <w:t>Vu la situation de fait, la Convention sur la protection des enfants et la coopération en matière d'adoption internationale (CLaH93) n'est pas applicable au cas d'espèce, dans la mesure où l'adoption vise un enfant du conjoint.</w:t>
      </w:r>
    </w:p>
    <w:p>
      <w:r>
        <w:rPr>
          <w:b/>
        </w:rPr>
        <w:t>E. 2</w:t>
      </w:r>
    </w:p>
    <w:p>
      <w:r>
        <w:t>Du fait de la nationalité de l'enfant la cause présente un caractère d'extranéité. Au sens de l'art. 75 al. 1 LDIP sont compétentes pour prononcer l'adoption les autorités judiciaires ou administratives suisses du domicile de l'adoptant ou des époux adoptants. Selon l'art. 77 al. 1 LDIP, les conditions de l'adoption prononcée en Suisse sont régies par le droit suisse. Du fait du domicile à Genève de l'adoptant, la Cour de justice est compétente pour se prononcer sur la requête d'adoption (art. 120 al. 1 let. c LOJ).</w:t>
      </w:r>
    </w:p>
    <w:p>
      <w:r>
        <w:rPr>
          <w:b/>
        </w:rPr>
        <w:t>E. 3.1</w:t>
      </w:r>
    </w:p>
    <w:p>
      <w:r>
        <w:t>Selon l'art. 264a al. 3 CC, un époux peut adopter l'enfant de son conjoint s'il est marié avec ce dernier depuis cinq ans. 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w:t>
      </w:r>
    </w:p>
    <w:p>
      <w:r>
        <w:t>- 4/5 -</w:t>
      </w:r>
    </w:p>
    <w:p>
      <w:r>
        <w:t>C/16024/2014-CS Il n'y a pas d'atteinte "inéquitable" lorsque l'adoption a pour seule conséquence de restreindre les expectatives successorales des autres enfants. L'atteinte n'est "inéquitable" que lorsque l'adoption a pour but de porter cette atteinte à l'égard des autres enfants (BREITSCHMID, Basler Kommentar, 4.1 Auflage 2010, ad art. 264, nos 20-22). En outre, selon l'art. 265 al. 1 CC, l'enfant doit être d'au moins seize ans plus jeune que les parents adoptifs. D'autre part, l'adoption ne peut avoir lieu que du consentement de l'enfant si ce dernier est capable de discernement (art. 265 al. 2 CC). Enfin, l'adoption requiert le consentement du père et de la mère biologiques de l'enfant (art. 265a CC).</w:t>
      </w:r>
    </w:p>
    <w:p>
      <w:r>
        <w:rPr>
          <w:b/>
        </w:rPr>
        <w:t>E. 3.2</w:t>
      </w:r>
    </w:p>
    <w:p>
      <w:r>
        <w:t>Dans le cas d'espèce, toutes les conditions à l'adoption sont réalisées. Il ressort à l'évidence du dossier, et notamment du rapport du 7 avril 2015 de l'Autorité centrale cantonale en matière d'adoption, qu'elle est dans l'intérêt de l'enfant qui partage sa vie avec sa mère et l'adoptant depuis de nombreuses années. Les consentements du père biologique et de l'enfant capable de discernement sont donnés. Selon l'art. 267 al. 2 CC, il sera précisé que l'enfant conserve ses liens de filiation avec sa mère. L'opposition de la fille biologique majeure de l'adoptant ne sera pas retenue, dans la mesure où l'adoption ne lui porte pas atteinte de manière inéquitable. Sa relation avec son père est troublée pour d'autres motifs (soit parce qu'elle estime que son père a manqué à ses devoirs envers elle antérieurement) que l'adoption présentement requise, laquelle n'a pas été sollicitée dans le but de causer un préjudice à l'opposante mais de reconnaître officiellement le lien qui unit depuis de nombreuses années le requérant et B______.</w:t>
      </w:r>
    </w:p>
    <w:p>
      <w:r>
        <w:rPr>
          <w:b/>
        </w:rPr>
        <w:t>E. 4</w:t>
      </w:r>
    </w:p>
    <w:p>
      <w:r>
        <w:t>Les frais de la procédure, arrêtés à 1'000 fr. (art. 19 al. 1 et 3 let. a LaCC; 26 RTFMC), sont mis à la charge de l'adoptant. Ils sont compensés en totalité avec l'avance de frais du même montant qui reste acquise à l'Etat (art. 98, 101 et 111 CPC). * * * * *</w:t>
      </w:r>
    </w:p>
    <w:p>
      <w:r>
        <w:t>- 5/5 -</w:t>
      </w:r>
    </w:p>
    <w:p>
      <w:r>
        <w:t>C/16024/2014-CS PAR CES MOTIFS, La Chambre civile : Prononce l'adoption de B______, née le ______ 2002 à ______ (Bulgarie), de nationalité bulgare, par A______, né le ______ 1959 à ______ (Vaud). Dit que les liens de filiation de l'enfant avec sa mère ne sont pas rompus. Met les frais de la procédure, arrêtés à 1'000 fr., à la charge de A______ et les compense avec l'avance de frais de ce montant qui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Annexes pour le Service de l'état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