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DAS/102/2019 vom 15. August 2018</w:t>
      </w:r>
    </w:p>
    <w:p>
      <w:r>
        <w:t>GE Cour de justice, 2018-08-15, FR</w:t>
      </w:r>
    </w:p>
    <w:p>
      <w:r>
        <w:rPr>
          <w:b/>
        </w:rPr>
        <w:t xml:space="preserve">Quelle: </w:t>
      </w:r>
      <w:r>
        <w:t>https://mcp.opencaselaw.ch/entscheid/ge_gerichte_DAS_102_2019</w:t>
      </w:r>
    </w:p>
    <w:p>
      <w:r>
        <w:t>FR: GE_GERICHTE DAS/102/2019 du 15 août 2018</w:t>
      </w:r>
    </w:p>
    <w:p>
      <w:r>
        <w:t>IT: GE_GERICHTE DAS/102/2019 del 15 agosto 2018</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 Formé par la personne concernée dans la forme et le délai prévus par la loi, le recours est recevable.</w:t>
      </w:r>
    </w:p>
    <w:p>
      <w:r>
        <w:rPr>
          <w:b/>
        </w:rPr>
        <w:t>E. 1.2</w:t>
      </w:r>
    </w:p>
    <w:p>
      <w:r>
        <w:t>Le recours peut être formé pour violation du droit, constatation fausse ou incomplète des faits pertinents et inopportunité de la décision (art. 450a al. 1 CC).</w:t>
      </w:r>
    </w:p>
    <w:p>
      <w:r>
        <w:rPr>
          <w:b/>
        </w:rPr>
        <w:t>E. 2</w:t>
      </w:r>
    </w:p>
    <w:p>
      <w:r>
        <w:t>Le recourant soutient que la curatelle de portée générale dont il fait l'objet ne serait plus nécessaire et sollicite sa levée par la Chambre de céans. La Chambre de surveillance ne pouvant revoir, dans le cadre des recours qui lui sont soumis, que les décisions qui ont été rendues par l'instance inférieure, il ne peut être donné suite aux conclusions du recourant, l'ordonnance litigieuse ne traitant pas de la question du maintien ou de la levée de la curatelle de portée générale dont il fait l'objet. Le recourant sera ainsi débouté de ses conclusions sur ce point.</w:t>
      </w:r>
    </w:p>
    <w:p>
      <w:r>
        <w:rPr>
          <w:b/>
        </w:rPr>
        <w:t>E. 3</w:t>
      </w:r>
    </w:p>
    <w:p>
      <w:r>
        <w:t>Le recourant sollicite la nomination d'un curateur privé, en lieu et place de la nouvelle curatrice désignée par le Tribunal de protection au sein du Service de protection de l'adulte.</w:t>
      </w:r>
    </w:p>
    <w:p>
      <w:r>
        <w:rPr>
          <w:b/>
        </w:rPr>
        <w:t>E. 3.1</w:t>
      </w:r>
    </w:p>
    <w:p>
      <w:r>
        <w:t>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w:t>
      </w:r>
    </w:p>
    <w:p>
      <w:r>
        <w:t>- 4/5 -</w:t>
      </w:r>
    </w:p>
    <w:p>
      <w:r>
        <w:t>C/16597/2007-CS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Le renforcement du principe d'autodétermination de la personne concernée s'exprime également dans le fait qu'elle peut refuser une personne désignée en qualité de curateur. Dans la mesure du possible, l'autorité de protection de l'adulte doit tenir compte d'une telle objection (art. 401 al. 3 CC). Cette faculté ne constitue donc pas un droit absolu (HÄFELI, CommFam Protection de l'adulte, ad art. 401 CC n. 4). Peuvent être désignés aux fonctions de curateur notamment des curateurs privés professionnels (art. 2 al. 1 let. b du Règlement fixant la rémunération des curateurs, RRC - E105.15). Le tribunal désigne les collaborateurs du service de l'administration cantonale concerné lorsque la personne protégée dispose d'une fortune globale nette inférieure ou égale à 50'000 fr. et qu'aucun proche n'est susceptible de fonctionner comme curateur (art. 2 al. 2 RRC).</w:t>
      </w:r>
    </w:p>
    <w:p>
      <w:r>
        <w:rPr>
          <w:b/>
        </w:rPr>
        <w:t>E. 3.2</w:t>
      </w:r>
    </w:p>
    <w:p>
      <w:r>
        <w:t>En l'espèce, la mesure de curatelle a été confiée au Service de protection de l'adulte dès 2010, la situation patrimoniale du recourant ne lui permettant pas de rémunérer un curateur privé. Incarcéré depuis 2008, il ne démontre pas que sa situation patrimoniale se serait améliorée depuis lors, de sorte qu'il ne peut prétendre à ce que le mandat de curatelle soit dorénavant exercé par un curateur privé, qu'il ne peut financer. La motivation du recourant réside uniquement dans l'idée, purement subjective et infondée, qu'un curateur privé défendrait mieux ses intérêts qu'un curateur issu du Service de protection de l'adulte, ce toutefois sans aucunement formuler de griefs à l'encontre des curatrices précédemment nommées, dont la relève de l'une d'elle fait uniquement suite à une réorganisation interne du service. Au surplus, il excède la compétence de la Chambre de surveillance de donner des instructions aux curateurs nommés, lesquels exercent leurs fonctions dans la limite du mandat qui leur a été confié. Quoi qu'il en soit, le recourant ne peut, compte tenu de la nature de la mesure de curatelle dont il fait l'objet, donner aucune instruction, que ce soit à un curateur privé ou étatique, contrairement à ce qu'il souhaiterait. Infondé, le recours sera rejeté.</w:t>
      </w:r>
    </w:p>
    <w:p>
      <w:r>
        <w:rPr>
          <w:b/>
        </w:rPr>
        <w:t>E. 4</w:t>
      </w:r>
    </w:p>
    <w:p>
      <w:r>
        <w:t>Les frais judiciaires de recours, arrêtés à 400 fr., seront mis à la charge de A______, qui succombe. Celui-ci sera condamné à verser 400 fr. à l'Etat de Genève, soit pour lui les Services financiers du Pouvoir judiciaire. * * * * *</w:t>
      </w:r>
    </w:p>
    <w:p>
      <w:r>
        <w:t>- 5/5 -</w:t>
      </w:r>
    </w:p>
    <w:p>
      <w:r>
        <w:t>C/16597/2007-CS PAR CES MOTIFS, La Chambre de surveillance : A la forme : Déclare recevable le recours formé le 15 août 2018 par A______ contre la décision DTAE/3777/2018 rendue le 22 juin 2018 par le Tribunal de protection de l'adulte et de l'enfant dans la cause C/16597/2007-1. Au fond : Le rejette. Déboute A______ de toutes autres conclusions. Sur les frais : Arrête les frais judiciaires de recours à 400 fr. et les met à la charge de A______. Condamne A______ à verser la somme de 400 fr. à l'Etat de Genève, soit pour lui les Services financiers du Pouvoir judiciaire.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