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DAS/101/2024 vom 26. Januar 2024</w:t>
      </w:r>
    </w:p>
    <w:p>
      <w:r>
        <w:t>GE Cour de justice, 2024-01-26, FR</w:t>
      </w:r>
    </w:p>
    <w:p>
      <w:r>
        <w:rPr>
          <w:b/>
        </w:rPr>
        <w:t xml:space="preserve">Quelle: </w:t>
      </w:r>
      <w:r>
        <w:t>https://mcp.opencaselaw.ch/entscheid/ge_gerichte_DAS_101_2024</w:t>
      </w:r>
    </w:p>
    <w:p>
      <w:r>
        <w:t>FR: GE_GERICHTE DAS/101/2024 du 26 janvier 2024</w:t>
      </w:r>
    </w:p>
    <w:p>
      <w:r>
        <w:t>IT: GE_GERICHTE DAS/101/2024 del 26 gennaio 2024</w:t>
      </w:r>
    </w:p>
    <w:p>
      <w:pPr>
        <w:pStyle w:val="Heading2"/>
      </w:pPr>
      <w:r>
        <w:t>Erwägungen</w:t>
      </w:r>
    </w:p>
    <w:p>
      <w:r>
        <w:rPr>
          <w:b/>
        </w:rPr>
        <w:t>E. 1.1</w:t>
      </w:r>
    </w:p>
    <w:p>
      <w:r>
        <w:t>Les décisions de l'autorité de protection de l'adulte peuvent faire l'objet, dans les trente jours, d'un recours écrit et motivé, devant le juge compétent, à savoir, à Genève,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et par des personnes habilitées à le déposer.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Les recourants reprochent essentiellement au Tribunal de protection de ne pas avoir désigné, respectivement maintenu, B______ comme curateur de représentation et de gestion de A______ et d'avoir désigné, respectivement maintenu C______, avocat, en ces qualités. Ils considèrent que C______ doit être relevé de ses fonctions et B______ désigné, respectivement maintenu dans les siennes, à titre individuel.</w:t>
      </w:r>
    </w:p>
    <w:p>
      <w:r>
        <w:rPr>
          <w:b/>
        </w:rPr>
        <w:t>E. 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w:t>
      </w:r>
    </w:p>
    <w:p>
      <w:r>
        <w:t>- 6/9 -</w:t>
      </w:r>
    </w:p>
    <w:p>
      <w:r>
        <w:t>C/28075/2017-CS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w:t>
      </w:r>
    </w:p>
    <w:p>
      <w:r>
        <w:rPr>
          <w:b/>
        </w:rPr>
        <w:t>E. 2.2</w:t>
      </w:r>
    </w:p>
    <w:p>
      <w:r>
        <w:t>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w:t>
      </w:r>
    </w:p>
    <w:p>
      <w:r>
        <w:rPr>
          <w:b/>
        </w:rPr>
        <w:t>E. 2.3</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seul compétent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7- 8 ad art. 423 CC).</w:t>
      </w:r>
    </w:p>
    <w:p>
      <w:r>
        <w:t>- 7/9 -</w:t>
      </w:r>
    </w:p>
    <w:p>
      <w:r>
        <w:t>C/28075/2017-CS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DAS/89/2015).</w:t>
      </w:r>
    </w:p>
    <w:p>
      <w:r>
        <w:rPr>
          <w:b/>
        </w:rPr>
        <w:t>E. 2.4</w:t>
      </w:r>
    </w:p>
    <w:p>
      <w:r>
        <w:t>En l'espèce, il s'agit d'emblée de constater que le système de co-curatelle de même périmètre mis en place par le Tribunal de protection n'a pas fonctionné dans les faits, ayant conduit le curateur C______ à solliciter sa relève au vu de la mauvaise collaboration s'étant faite jour entre les co-curateurs. Ce système devait être modifié. Tous les intervenants en conviennent. Cela n'est pas remis en cause. Le Tribunal de protection a instruit la demande de relève du curateur C______. Il en est ressorti que les intérêts de la personne protégée n'étaient pas sauvegardés par les agissements ou les omissions du curateur B______, lequel refusait en particulier la formalisation dans l'intérêt de la protégée des modalités de versement à celle-ci du legs dont elle est bénéficiaire par l'héritière instituée par son père. Ce refus apparaissait comme une mise en danger des intérêts de la protégée, résultant d'une appréciation erronée des faits ou des conséquences juridiques de ceux-ci, dont il résultait un conflit d'intérêts entre ceux de la protégée et ceux du co-curateur, son époux. Cette analyse doit être confirmée. En effet, il ressort de la procédure que l'intérêt de la protégée commande que le legs laissé par son père en sa faveur lui soit versé par mensualités régulières, selon les modalités d'ores et déjà mises en œuvres, mais à formaliser pour le futur, conformément à la proposition du curateur C______. En s'opposant à cette façon de procéder, le curateur B______ a démontré qu'il n'agissait pas pour la sauvegarde des intérêts de la protégée, la confiance en lui étant rompue. Il devait être relevé. Le fait, comme le recourant B______ le soutient dans son recours, qu'il s'occupe au quotidien de son épouse et lui prodigue les soins nécessaires n'est pas pertinent dans la présente procédure puisque le périmètre de la curatelle de représentation et gestion ne vise pas ces aspects de la prise en charge de la protégée. Par ailleurs, la relève du curateur B______ respecte les principes de subsidiarité et proportionnalité, puisqu'il n'existe aucune autre possibilité que les intérêts financiers de la protégée soient valablement sauvegardés.</w:t>
      </w:r>
    </w:p>
    <w:p>
      <w:r>
        <w:t>- 8/9 -</w:t>
      </w:r>
    </w:p>
    <w:p>
      <w:r>
        <w:t>C/28075/2017-CS De plus, dans la mesure où il a été considéré que les conditions d'une relève du curateur B______ étaient réalisées, les vœux de la personne protégée quant à la personne du curateur en tant qu’ils le visaient lui ne peuvent être pris en compte. Enfin, dans la mesure où il n'existe aucun élément au dossier laissant envisager que les conditions d'une relève du curateur C______ seraient réalisées, point n'est besoin d'examiner plus avant la question. Il appartiendra, le cas échéant au Tribunal de protection d'examiner dans le futur, et une fois la convention relative aux modalités du versement du legs finalisée, la nécessité du maintien d'une curatelle de la teneur de celle prononcée en faveur de la protégée et, le cas échéant, de procéder à l’adaptation de la mission du curateur.</w:t>
      </w:r>
    </w:p>
    <w:p>
      <w:r>
        <w:rPr>
          <w:b/>
        </w:rPr>
        <w:t>E. 3</w:t>
      </w:r>
    </w:p>
    <w:p>
      <w:r>
        <w:t>Les frais judicaires de la procédure de recours sont arrêtés à 800 fr. et mis à la charge des recourants conjointement et solidairement. Ils sont partiellement compensés par l'avance de frais en 400 fr., qui reste acquise à l'Etat de Genève. Les recourants seront condamnés, conjointement et solidairement, à verser 400 fr. à l’Etat de Genève, soit pour lui les Services financiers du Pouvoir judiciaire. * * * * *</w:t>
      </w:r>
    </w:p>
    <w:p>
      <w:r>
        <w:t>- 9/9 -</w:t>
      </w:r>
    </w:p>
    <w:p>
      <w:r>
        <w:t>C/28075/2017-CS PAR CES MOTIFS, La Chambre de surveillance : A la forme : Déclare recevable le recours formé le 26 janvier 2024 par A______ et B______ contre la décision DTAE/9559/2023 rendue le 30 octobre 2023 par le Tribunal de protection de l'adulte et de l'enfant dans la cause C/28075/2017. Au fond : Le rejette. Sur les frais : Arrête les frais de recours à 800 fr. Les met à la charge de A______ et B______, conjointement et solidairement, et les compense avec l’avance de frais versée de 400 fr., qui reste acquise à l’Etat de Genève. Condamne A______ et B______, conjoitement et solidairement, à verser aux Services financiers du Pouvoir judiciaire le solde de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