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DAAJ/98/2022 vom 8. Juli 2022</w:t>
      </w:r>
    </w:p>
    <w:p>
      <w:r>
        <w:t>GE Cour de justice, 2022-07-08, FR</w:t>
      </w:r>
    </w:p>
    <w:p>
      <w:r>
        <w:rPr>
          <w:b/>
        </w:rPr>
        <w:t xml:space="preserve">Quelle: </w:t>
      </w:r>
      <w:r>
        <w:t>https://mcp.opencaselaw.ch/entscheid/ge_gerichte_DAAJ_98_2022</w:t>
      </w:r>
    </w:p>
    <w:p>
      <w:r>
        <w:t>FR: GE_GERICHTE DAAJ/98/2022 du 8 juillet 2022</w:t>
      </w:r>
    </w:p>
    <w:p>
      <w:r>
        <w:t>IT: GE_GERICHTE DAAJ/98/2022 del 8 luglio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w:t>
      </w:r>
    </w:p>
    <w:p>
      <w:r>
        <w:t>- 4/7 -</w:t>
      </w:r>
    </w:p>
    <w:p>
      <w:r>
        <w:t>AC/1546/2022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4A_48/2021 du 21 juin 2021 consid. 3.2; 4A_100/2021 du 10 mai 2021 consid. 3.2; 4A_622/2020 du 5 février 2021 consid. 2.4).</w:t>
      </w:r>
    </w:p>
    <w:p>
      <w:r>
        <w:rPr>
          <w:b/>
        </w:rPr>
        <w:t>E. 3.1.3</w:t>
      </w:r>
    </w:p>
    <w:p>
      <w:r>
        <w:t>Selon l’art. 328 al. 2 CO, l’employeur prend, pour protéger la vie, la santé et l’intégrité personnelle du travailleur, les mesures commandées par l’expérience, applicables en l’état de la technique, et adaptées aux conditions de l’exploitation ou du</w:t>
      </w:r>
    </w:p>
    <w:p>
      <w:r>
        <w:t>- 5/7 -</w:t>
      </w:r>
    </w:p>
    <w:p>
      <w:r>
        <w:t>AC/1546/2022 ménage, dans la mesure où les rapports de travail et la nature du travail permettent équitablement de l’exiger de lui. En cas d’atteinte à la personnalité, la partie employeuse est susceptible d’engager sa responsabilité contractuelle pour son propre fait ou du fait d’autrui (ATF 112 II 138 consid. 2). La personne salariée victime d’une atteinte à la personnalité du fait de la partie employeuse ou des auxiliaires de celle-ci peut prétendre à une indemnité pour tort moral pour autant que la gravité de l’atteinte le justifie (CO 49) (ATF 137 III 303 consid. 2.2.2; LEMPEN, Commentaire romand CO I, 2021, n° 3 et 4 ad art. 328 CO). Aux termes de l'art. 127 CO, toutes les actions se prescrivent par dix ans, lorsque le droit civil fédéral n'en dispose pas autrement. Tel est le cas de l'art. 128 ch. 3 CO qui prévoit un délai de prescription de cinq ans pour les actions des travailleurs pour leurs services. L'art. 128 ch. 3 CO doit être appliqué restrictivement (ATF 147 III 78 consid. 6.6 et 6.7;132 III 61 consid. 6.1; 123 III 120 consid. 2b). Ainsi, seules les créances de salaire ou qui ont les caractéristiques d'une créance de salaire sont soumises à la prescription quinquennale (ATF 147 III 78 consid. 6.8; REHBINDER/STÖCKLI, Berner Kommentar, 2e éd. 2014, n. 30 ad art. 314; STAEHELIN, Zürcher Kommentar, 4e éd. 2014, n. 19 ad art. 341 CO; PICHONNAZ, in Commentaire romand Code des obligations I, 2e éd. 2012, n. 30 ad art. 128 CO; STREIFF/VON KAENEL/RUDOLPH, der Arbeitsvertrag, 7e éd. 2012, n. 8 ad art. 341 CO; contra: BERTI, Zürcher Kommentar, 3e éd. 2002, n. 61 ad art. 128 CO). Les prétentions issues du contrat de travail qui ne sont pas en lien avec la rémunération sont soumises au délai de prescription décennal. Tel est notamment le cas du droit à un certificat de travail (art. 330a CO; ATF 147 III 78 consid. 6.8). L’art. 128a CO, entré en vigueur le 1er janvier 2020, règle la prescription de l’action en dommages-intérêts ou en paiement d’une somme d’argent à titre de réparation morale en cas de mort d’homme ou de lésions corporelles résultant d’une faute contractuelle. Il prévoit un délai de trois ans à compter du jour où la partie lésée a eu connaissance du dommage et, dans tous les cas, de vingt ans à compter du jour où le fait dommageable s’est produit ou a cessé. L’ancien droit continue toutefois à s’appliquer lorsqu’il prévoit des délais de prescription plus longs que ceux-ci (art. 49 al. 2 Titre final CC).</w:t>
      </w:r>
    </w:p>
    <w:p>
      <w:r>
        <w:rPr>
          <w:b/>
        </w:rPr>
        <w:t>E. 3.2</w:t>
      </w:r>
    </w:p>
    <w:p>
      <w:r>
        <w:t>En l'espèce, si la requête en conciliation du 23 mars 2022 fait essentiellement état de prétentions à caractère salarial, elle mentionne également une prétention en 8'400 fr. à titre de dommages-intérêts pour des frais médicaux assumés en raison de l’atteinte à la santé survenue dans le cadre du contrat de travail. Cette créance est soumise au délai de prescription décennal, de sorte qu’il ne peut être retenu qu’elle serait a priori prescrite. En outre, il est vrai que la requête en conciliation du 23 mars 2022 ne fait aucune allusion à une prétention pour tort moral. Néanmoins, l’autorisation de procéder délivrée à l’issue de l’audience du 23 mai 2022 indique que l’objet du litige porte également sur une telle créance. Dans sa demande d’assistance juridique, le recourant a par ailleurs également précisé qu’il entendait réclamer à son ancien employeur une</w:t>
      </w:r>
    </w:p>
    <w:p>
      <w:r>
        <w:t>- 6/7 -</w:t>
      </w:r>
    </w:p>
    <w:p>
      <w:r>
        <w:t>AC/1546/2022 indemnité pour tort moral ; il n’a toutefois pas fait mention des frais médicaux mentionnés initialement dans sa requête en conciliation. Il en résulte que les conclusions qu’entend finalement faire valoir le recourant sont floues, ce qui empêche l’examen des chances de succès des démarches envisagées. Ses conclusions semblent cependant concerner, pour partie, des prétentions soumises à la prescription décennale et donc encore exigibles. Le recourant n’a pour le surplus donné aucune précision sur les circonstances ayant entouré la survenance de l’atteinte subie, ni les éléments constitutifs d’une violation de l’obligation de diligence de son ancien employeur. Il n’a pas fourni suffisamment d’indices pour prouver la gravité de l’atteinte et il n’a produit aucun justificatif établissant le montant de frais médicaux qu’il aurait dû assumer personnellement. Au vu de l’inexpérience du recourant, qui agissait en personne, il y aurait toutefois eu lieu de lui permettre de compléter sa demande. L’autorité de première instance ne pouvait d’emblée retenir que le recourant n’entendait faire valoir que des prétentions à caractère salarial, sans l’interpeller à ce sujet, ni lui demander, cas échéant, de fournir les éléments justifiant ses prétentions. Le recours sera donc admis, la décision querellée annulée et la cause renvoyée à l'autorité précédente pour complément d'instruction et nouvelle décision.</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- 7/7 -</w:t>
      </w:r>
    </w:p>
    <w:p>
      <w:r>
        <w:t>AC/1546/2022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