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DAAJ/98/2017 vom 11. Juli 2017</w:t>
      </w:r>
    </w:p>
    <w:p>
      <w:r>
        <w:t>GE Cour de justice, 2017-07-11, FR</w:t>
      </w:r>
    </w:p>
    <w:p>
      <w:r>
        <w:rPr>
          <w:b/>
        </w:rPr>
        <w:t xml:space="preserve">Quelle: </w:t>
      </w:r>
      <w:r>
        <w:t>https://mcp.opencaselaw.ch/entscheid/ge_gerichte_DAAJ_98_2017</w:t>
      </w:r>
    </w:p>
    <w:p>
      <w:r>
        <w:t>FR: GE_GERICHTE DAAJ/98/2017 du 11 juillet 2017</w:t>
      </w:r>
    </w:p>
    <w:p>
      <w:r>
        <w:t>IT: GE_GERICHTE DAAJ/98/2017 del 11 luglio 2017</w:t>
      </w:r>
    </w:p>
    <w:p>
      <w:pPr>
        <w:pStyle w:val="Heading2"/>
      </w:pPr>
      <w:r>
        <w:t>Erwägungen</w:t>
      </w:r>
    </w:p>
    <w:p>
      <w:r>
        <w:rPr>
          <w:b/>
        </w:rPr>
        <w:t>E. 2</w:t>
      </w:r>
    </w:p>
    <w:p>
      <w:r>
        <w:t>2.1.1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w:t>
      </w:r>
    </w:p>
    <w:p>
      <w:r>
        <w:t>- 4/6 -</w:t>
      </w:r>
    </w:p>
    <w:p>
      <w:r>
        <w:t>AC/996/2017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janvier 2015 consid. 4.1). L'absence de chances de succès peut résulter des faits ou du droit. L'assistance sera refusée s'il apparaît d'emblée que les faits pertinents allégués sont invraisemblables ou ne pourront pas être prouvés (arrêt du Tribunal fédéral 4A_614/2015 du 25 avril 2016 consid. 3.2). 3.1.2 Le père ou la mère qui ne détient pas l'autorité parentale ou la garde ainsi que l'enfant mineur ont réciproquement le droit d'entretenir les relations personnelles indiquées par les circonstances (art. 273 al. 1 CC).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ou psychique est menacé par la présence, même limitée, du parent qui n'a pas l'autorité parentale. La jurisprudence cite la maltraitance psychique ou physique (arrêt 5P.131/2006 du 25 août 2006 consid. 3 s., publié in FamPra.ch 2007 p. 167).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(ATF 122 III 404, consid. 3b, JdT 1998 I 46; arrêts du Tribunal fédéral 5C.244.2001, 5C.58/2004).</w:t>
      </w:r>
    </w:p>
    <w:p>
      <w:r>
        <w:t>- 5/6 -</w:t>
      </w:r>
    </w:p>
    <w:p>
      <w:r>
        <w:t>AC/996/2017 Une mise en danger concrète du bien de l'enfant est nécessaire pour imposer au titulaire l'obligation de se soumettre à des modalités particulières ou motiver une suspension du droit limitée dans le temps. Il en va ainsi si l'enfant est maltraité ou en cas de troubles psychiques du titulaire du droit de garde (MEIER/STETTLER, Droit de la filiation, 3ème éd., p. 24). Le juge dispose d'un large pouvoir d'appréciation dans la fixation du droit de visite (ATF 122 III 404 consid. 3d = JdT 1998 I 46). 3.2. En l'espèce, s’il était compréhensible que le Tribunal de protection subordonne l’exercice du droit de visite du requérant à une abstinence complète à l’alcool lorsque celui-ci exerçait son droit de visite en dehors de la présence de tout tiers, il peut sembler, a priori, disproportionné de lui imposer la même exigence s’agissant de la reprise d’un droit de visite devant s’exercer dans un point de rencontre. La proposition du recourant de se soumettre à un alcootest avant l’exercice de chaque visite paraît être une solution que la Cour de justice pourrait éventuellement juger suffisante de sorte que, pour cette raison déjà, le recours formé par le recourant contre la décision du 5 mai 2017 ne semble pas dénué de chances de succès. Par ailleurs, l’obligation pour le recourant de prouver son abstinence aux médicaments semble également excessive si, comme l’allègue le recourant, une telle abstinence le prive du droit de prendre tout médicament. La Vice-présidente du Tribunal civil a considéré que cette interdiction ne concernait pas une abstinence complète à tout médicament mais uniquement une absence d’addiction. Il s’agit toutefois là d’une interprétation de sa part, de sorte qu’il n’apparaît pas dénué de justification de soumettre cette question à l’autorité de recours. Au vu de ce qui précède, le recours formé par le recourant contre la décision du Tribunal de protection du 5 mai 2017 ne semble pas dénué de chances de succès. Par conséquent, le recours sera admis et la décision querellée sera annulée. La condition de l’indigence paraissant réalisée, notamment au vu de l'octroi de l'aide étatique au recourant pour la procédure devant le Tribunal de protection, l'extension d'assistance juridique sollicitée sera en conséquence octroyée, avec effet au 5 juillet 2017, date du dépôt de la demande.</w:t>
      </w:r>
    </w:p>
    <w:p>
      <w:r>
        <w:rPr>
          <w:b/>
        </w:rPr>
        <w:t>E. 4</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 DAAJ/34/2013 du 30 avril 2013 consid. 3).</w:t>
      </w:r>
    </w:p>
    <w:p>
      <w:r>
        <w:t>- 6/6 -</w:t>
      </w:r>
    </w:p>
    <w:p>
      <w:r>
        <w:t>AC/996/2017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