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DAAJ/97/2021 vom 24. März 2021</w:t>
      </w:r>
    </w:p>
    <w:p>
      <w:r>
        <w:t>GE Cour de justice, 2021-03-24, FR</w:t>
      </w:r>
    </w:p>
    <w:p>
      <w:r>
        <w:rPr>
          <w:b/>
        </w:rPr>
        <w:t xml:space="preserve">Quelle: </w:t>
      </w:r>
      <w:r>
        <w:t>https://mcp.opencaselaw.ch/entscheid/ge_gerichte_DAAJ_97_2021</w:t>
      </w:r>
    </w:p>
    <w:p>
      <w:r>
        <w:t>FR: GE_GERICHTE DAAJ/97/2021 du 24 mars 2021</w:t>
      </w:r>
    </w:p>
    <w:p>
      <w:r>
        <w:t>IT: GE_GERICHTE DAAJ/97/2021 del 24 marzo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t>- 4/6 -</w:t>
      </w:r>
    </w:p>
    <w:p>
      <w:r>
        <w:t>AC/885/2021</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2.2</w:t>
      </w:r>
    </w:p>
    <w:p>
      <w:r>
        <w:t>Le créancier peut céder son droit à un tiers sans le consentement du débiteur, à moins que la cession n'en soit interdite par la loi, la convention ou la nature de l'affaire (art. 164 al. 1 CO). La cession n'est valable que si elle a été constatée par écrit (art. 165 al. 1 CO). Cela suppose nécessairement un document signé, soit un support matériel contenant tous les points essentiels pour le transfert de la créance, couvert par la signature manuscrite (art. 13 s. CO; PROBST, Commentaire romand CO I, 2ème éd., 2012, n. 2 ad art. 165 CO; arrêt du Tribunal fédéral 4A_186/2009 du 3 mars 2010 consid. 4.3). Seule la signature du cédant est nécessaire pour que la cession soit valable (ATF 130 III 417 consid. 3.3). Le cédant n'est lié par sa déclaration de cession qu'à partir de sa remise au cessionnaire (PROBST, op. cit., n. 3 ad art. 165 CO).</w:t>
      </w:r>
    </w:p>
    <w:p>
      <w:r>
        <w:t>- 5/6 -</w:t>
      </w:r>
    </w:p>
    <w:p>
      <w:r>
        <w:t>AC/885/2021 La photocopie d'un original ne remplit pas l'exigence de la signature manuscrite (ATF 140 III 54 consid. 2.1). En revanche, il y a encore controverse sur la question de savoir si la transmission par télécopie ou courriel d'un original signé suffit à remplir l'exigence de forme; la tendance est toutefois d'admettre la validité de la forme écrite si l'original resté auprès de celui qui envoie le fax ou le courriel est signé. En revanche, un document généré uniquement par un ordinateur (par exemple document word ou pdf avec l'image de la signature insérée) ne remplit pas l'exigence de la signature manuscrite (TERCIER/PICHONNAZ, Le droit des obligations, 6ème éd., 2019, n. 735 p. 174 et les références citées). La cession qui ne respecte pas la forme écrite est nulle pour vice de forme (art. 11 al. 2 CO; PROBST, op. cit., n. 10 ad art. 165 CO).</w:t>
      </w:r>
    </w:p>
    <w:p>
      <w:r>
        <w:rPr>
          <w:b/>
        </w:rPr>
        <w:t>E. 2.3</w:t>
      </w:r>
    </w:p>
    <w:p>
      <w:r>
        <w:t>L'action en annulation ou en suspension de la poursuite peut être exercée par deux voies différentes: si le poursuivi dispose d'un titre, il choisira la procédure sommaire, qui est simple et rapide (art. 85 LP). S'il ne dispose pas de cette preuve liquide, il devra recourir à la procédure ordinaire, sous sa forme accélérée (art. 85a LP; SCHMIDT, Commentaire romand LP, 2005, n. 3 ad art. 85 LP). La voie de l'art. 85a LP est subsidiaire par rapport à celle de l'art. 85 LP. L'action en annulation ou en suspension de la poursuite de l'art. 85a LP est ouverte lorsque le débiteur ne peut apporter de preuve par titre de l'extinction de la dette ou d'un sursis accordé par le créancier (MARCHAND, Précis de droit des poursuites, 2ème éd., 2013, p. 76).</w:t>
      </w:r>
    </w:p>
    <w:p>
      <w:r>
        <w:rPr>
          <w:b/>
        </w:rPr>
        <w:t>E. 2.4</w:t>
      </w:r>
    </w:p>
    <w:p>
      <w:r>
        <w:t>En l'espèce, il ne peut en l'état être affirmé, au stade de la vraisemblance et sur la base d'un examen sommaire, que l'action en annulation de la poursuite au sens de l'art. 85a LP introduite par le recourant est dépourvue de toutes chances de succès. En effet, compte tenu de l'aveu de C______ AG selon lequel la cession de créance de D______ SA en sa faveur a été préparée électroniquement et de son incapacité à produire l'original de celle-ci, la validité de ladite cession de créance semble, au vu des principes susmentionnés, discutable. Cela étant, le recourant a d'ores et déjà introduit une action en annulation de la poursuite fondée sur l'art. 85 LP, laquelle est encore pendante. Or, un justiciable raisonnable plaidant à ses propres frais aurait renoncé à engager en sus une action en annulation de la poursuite fondée sur l'art. 85a LP, subsidiaire à ladite procédure, avant de connaître l'issue de celle-ci et ainsi décidé de l'opportunité d'introduire une autre procédure. Le refus de l'autorité précédente d'accorder l'assistance juridique sollicitée sera en conséquence confirmé. Le recours, infondé, sera rejeté.</w:t>
      </w:r>
    </w:p>
    <w:p>
      <w:r>
        <w:rPr>
          <w:b/>
        </w:rPr>
        <w:t>E. 3</w:t>
      </w:r>
    </w:p>
    <w:p>
      <w:r>
        <w:t>Sauf exceptions non réalisées en l'espèce, il n'est pas perçu de frais judiciaires pour la procédure d'assistance juridique (art. 119 al. 6 CPC). Par ailleurs, il n'y a pas lieu à l'octroi de dépens, au vu de l'issue du recours.</w:t>
      </w:r>
    </w:p>
    <w:p>
      <w:r>
        <w:t>- 6/6 -</w:t>
      </w:r>
    </w:p>
    <w:p>
      <w:r>
        <w:t>AC/885/2021 * * * * *</w:t>
      </w:r>
    </w:p>
    <w:p>
      <w:r>
        <w:t>PAR CES MOTIFS, LE VICE-PRÉSIDENT DE LA COUR : A la forme : Déclare recevable le recours formé par A______ contre la décision rendue le 24 mars 2021 par la Vice-présidente du Tribunal de première instance dans la cause AC/885/2021. Au fond : Le rejette. Déboute A______ de toutes autres conclusions. Dit qu'il n'est pas perçu de frais judiciaires pour le recours, ni alloué de dépens. Notifie une copie de la présente décision à A______ en l'Étude de Me B______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