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DAAJ/97/2017 vom 26. Juni 2017</w:t>
      </w:r>
    </w:p>
    <w:p>
      <w:r>
        <w:t>GE Cour de justice, 2017-06-26, FR</w:t>
      </w:r>
    </w:p>
    <w:p>
      <w:r>
        <w:rPr>
          <w:b/>
        </w:rPr>
        <w:t xml:space="preserve">Quelle: </w:t>
      </w:r>
      <w:r>
        <w:t>https://mcp.opencaselaw.ch/entscheid/ge_gerichte_DAAJ_97_2017</w:t>
      </w:r>
    </w:p>
    <w:p>
      <w:r>
        <w:t>FR: GE_GERICHTE DAAJ/97/2017 du 26 juin 2017</w:t>
      </w:r>
    </w:p>
    <w:p>
      <w:r>
        <w:t>IT: GE_GERICHTE DAAJ/97/2017 del 26 giugno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t>- 5/9 -</w:t>
      </w:r>
    </w:p>
    <w:p>
      <w:r>
        <w:t>AC/1521/2017</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 Le contentieux de la mainlevée de l'opposition est une procédure sur pièces (ATF 136 III 583 consid. 2.3 et les références), de sorte que le juge ne peut procéder qu'à l'interprétation objective du titre de mainlevée (arrêt du Tribunal fédéral 5A_741/2013 du 3 avril 2014 consid. 3 et 3.1.1). L'interprétation objective consiste à rechercher la volonté objective des parties, en déterminant le sens que, d'après les règles de la bonne</w:t>
      </w:r>
    </w:p>
    <w:p>
      <w:r>
        <w:t>- 6/9 -</w:t>
      </w:r>
    </w:p>
    <w:p>
      <w:r>
        <w:t>AC/1521/2017 foi, chacune d'elle pouvait et devait raisonnablement prêter aux déclarations de volonté de l'autre (application du principe de la confiance;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arrêt du Tribunal fédéral 5A_953/2014 du 13 août 2015 consid. 2.1). Le poursuivi peut faire échec à la mainlevée en rendant immédiatement vraisemblable - en principe par pièces (art. 254 al. 1 CPC; arrêt du Tribunal fédéral 5A_630/2010 du 1er septembre 2011 consid. 2.2) - sa libération (ATF 96 I 4 consid. 2). Lorsque le juge statue sous l'angle de la simple vraisemblance, il doit, en se fondant sur des éléments objectifs, acquérir l'impression que les faits allégués se sont produits, mais sans exclure pour autant la possibilité qu'ils se soient déroulés autrement (ATF 132 III 140 consid. 4.1.2). Le poursuivi peut invoquer tous les moyens de droit civil - exceptions ou objections - qui infirment la reconnaissance de dette (ATF 125 III 501 consid. 3b), en particulier le vice de forme qui affecte son obligation (cf. par exemple: ATF 119 Ia 441 [en matière de cautionnement solidaire]) (arrêt du Tribunal fédéral 5A_849/2012 du 25 juin 2013, consid. 2.1). 3.1.3 Le Tribunal fédéral admet que le juge peut s'écarter d'un texte (en apparence) clair s'il résulte d'autres clauses du contrat, du but poursuivi par les parties ou d'autres circonstances qu'il ne restitue pas le sens de l'accord conclu;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aussi une interprétation littérale stricte n'est-elle justifiée qu'à l'égard de parties qui sont rompues à l'usage de ces termes ou possèdent une formation juridique (ATF 125 III 305 consid. 2b; 129 III 702 consid. 2.4.1, arrêt du Tribunal fédéral 5A_849/2012 du 25 juin 2013, consid. 2.2). S’il s’écarte du texte de l’accord, le juge droit rechercher le sens et le but de l’engagement assumé par le débiteur (arrêt du Tribunal fédéral 5A_849/2012 du 25 juin 2013, consid. 2.2). 3.1.4 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143 al. 1 CO (ATF 129 III 702 consid. 2.1).</w:t>
      </w:r>
    </w:p>
    <w:p>
      <w:r>
        <w:t>- 7/9 -</w:t>
      </w:r>
    </w:p>
    <w:p>
      <w:r>
        <w:t>AC/1521/2017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arrêt du Tribunal fédéral 4C.24/2007 du 26 avril 2007 consid. 5).</w:t>
      </w:r>
    </w:p>
    <w:p>
      <w:r>
        <w:rPr>
          <w:b/>
        </w:rPr>
        <w:t>E. 3.2</w:t>
      </w:r>
    </w:p>
    <w:p>
      <w:r>
        <w:t>En l’espèce, selon le texte du protocole, le recourant s’est engagé « conjointement et solidairement » avec B______ SA, de sorte qu’il a, a priori, contracté un engagement solidaire. Au vu de la jurisprudence du Tribunal fédéral, même en admettant l’hypothèse selon laquelle le recourant ne serait pas familier des termes utilisés par le protocole d’accord, il n’en reste pas moins que l’existence du lien économique entre le recourant et la succursale de B______ SA, dont il était l’unique ayant-droit économique et administrateur, et le fait que la garantie conditionnait l’obtention d’un prêt destiné à assurer les opérations de cette société, permettaient, à première vue, au premier juge de retenir que le recourant avait un intérêt direct à l’affaire – ce qui était reconnaissable pour les autres parties au protocole – et que son engagement pouvait être qualifié d’engagement solidaire. On ne saurait suivre le recourant lorsqu’il prétend qu’il n’avait</w:t>
      </w:r>
    </w:p>
    <w:p>
      <w:r>
        <w:t>- 8/9 -</w:t>
      </w:r>
    </w:p>
    <w:p>
      <w:r>
        <w:t>AC/1521/2017 aucun intérêt à la garantie car si le prêt n’avait pas été nécessaire à la société, il n’aurait tout simplement pas signé d’accord, que ce soit en qualité de simple caution ou de débiteur solidaire. Au stade de la mainlevée de l’opposition, qui est une procédure sur pièces, c’est, a priori, à juste titre que le Tribunal a retenu que l'engagement signé par le recourant n’était pas soumis aux règles du cautionnement de sorte que l'art. 493 al. 2 CO ne faisait pas obstacle à sa validité. Par conséquent, c’est à raison que la Vice-présidente du Tribunal civil a considéré que les chances de succès du recourant d’obtenir gain de cause devant la Cour s’agissant du prononcé de la mainlevée provisoire étaient extrêmement faibles et qu’elle l’a renvoyé à agir en libération de dettes, action pour laquelle l’assistance juridique lui a été accordée. Le recours sera donc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- 9/9 -</w:t>
      </w:r>
    </w:p>
    <w:p>
      <w:r>
        <w:t>AC/1521/2017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