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DAAJ/96/2015 vom 19. August 2015</w:t>
      </w:r>
    </w:p>
    <w:p>
      <w:r>
        <w:t>GE Cour de justice, 2015-08-19, FR</w:t>
      </w:r>
    </w:p>
    <w:p>
      <w:r>
        <w:rPr>
          <w:b/>
        </w:rPr>
        <w:t xml:space="preserve">Quelle: </w:t>
      </w:r>
      <w:r>
        <w:t>https://mcp.opencaselaw.ch/entscheid/ge_gerichte_DAAJ_96_2015</w:t>
      </w:r>
    </w:p>
    <w:p>
      <w:r>
        <w:t>FR: GE_GERICHTE DAAJ/96/2015 du 19 août 2015</w:t>
      </w:r>
    </w:p>
    <w:p>
      <w:r>
        <w:t>IT: GE_GERICHTE DAAJ/96/2015 del 19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2010, n. 2513-2515, p. 453).</w:t>
      </w:r>
    </w:p>
    <w:p>
      <w:r>
        <w:t>- 4/6 -</w:t>
      </w:r>
    </w:p>
    <w:p>
      <w:r>
        <w:t>AC/916/2015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 arrêt publié DAAJ/78/2015 consid. 1.1). La juridiction de recours n'entre pas en matière sur un acte ne contenant aucune motivation par laquelle il est possible de discerner en quoi la juridiction inférieure a erré (art. 320 let. a et b CPC).</w:t>
      </w:r>
    </w:p>
    <w:p>
      <w:r>
        <w:rPr>
          <w:b/>
        </w:rPr>
        <w:t>E. 1.2</w:t>
      </w:r>
    </w:p>
    <w:p>
      <w:r>
        <w:t>En l'espèce, le recours a été interjeté dans le délai utile et en la forme écrite prescrite par la loi. Toutefois, le recours ne respecte pas les conditions de motivation imposées par la loi en ce qui concerne l'absence de chances de succès du recourant de se voir accordé la garde partagée des enfants et attribuer le domicile conjugal. Le recourant se contente en effet de renvoyer la Cour de céans à aux arguments qu'il a développé dans son appel au fond sans exposer en quoi le Vice-président du Tribunal civil aurait établi les faits de manière arbitraire et quelle violation de la loi lui est reprochée sur ce point. Dans la mesure où l'absence de motivation de l'acte ne constitue pas un vice de forme réparable au sens de l'art. 132 CPC (HOHL, op. cit., n. 3030), il ne peut être entré en matière sur ces points. En revanche, le recourant a suffisamment critiqué la décision de l'assistance juridique s'agissant de ses chances de succès relativement au paiement d'une contribution. Le recours est dès lors recevable à cet égard.</w:t>
      </w:r>
    </w:p>
    <w:p>
      <w:r>
        <w:rPr>
          <w:b/>
        </w:rPr>
        <w:t>E. 2</w:t>
      </w:r>
    </w:p>
    <w:p>
      <w:r>
        <w:t>Les allégations de faits et les preuves nouvelles sont irrecevables dans le cadre d'un recours (art. 326 al. 1 CPC), de sorte qu'ils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- 5/6 -</w:t>
      </w:r>
    </w:p>
    <w:p>
      <w:r>
        <w:t>AC/916/2015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Les frais de logement effectifs ou raisonnables doivent être pris en considération. Il est admissible d'augmenter le coût du logement si lors du jugement, l'intéressé se contente provisoirement d'un logement très bon marché mais qu'on ne peut exiger qu'il conserve à long terme, par exemple un studio trop petit pour y recevoir les enfants en visite (arrêt publié ACJC/589/2014 du 23 mai 2014 consid. 3.4 citant BASTONS BULLETI, L'entretien après divorce : méthode de calcul, montant, durée et limites, in SJ 2007 II 77, p. 85 et n. 47).</w:t>
      </w:r>
    </w:p>
    <w:p>
      <w:r>
        <w:rPr>
          <w:b/>
        </w:rPr>
        <w:t>E. 3.2</w:t>
      </w:r>
    </w:p>
    <w:p>
      <w:r>
        <w:t>En l'espèce, le recourant a quitté le domicile conjugal à la suite du prononcé des mesures provisionnelles du mois d'avril 2015. Dans l'urgence, il n'a eu d'autre choix que de se faire héberger par un ami. Le recourant n'a certes pas établi verser un loyer à son logeur. Cela étant, cette situation, qui ne dure que depuis quelques mois, ne peut être que temporaire pour le recourant qui doit être en mesure de recevoir ses trois enfants lors de l'exercice de son droit de visite, ce dernier fût-il réduit. Par conséquent, c'est à tort que le premier juge a estimé que l'appel au fond formé contre le jugement de mesures protectrices de l'union conjugal était a priori dénué de chances de succès sur ce point. Compte tenu de ce qui précède, la décision entreprise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 * * * * *</w:t>
      </w:r>
    </w:p>
    <w:p>
      <w:r>
        <w:t>- 6/6 -</w:t>
      </w:r>
    </w:p>
    <w:p>
      <w:r>
        <w:t>AC/916/2015 PAR CES MOTIFS, LE VICE-PRÉSIDENT DE LA COUR : A la forme : Déclare recevable le recours formé le 3 septembre 2015 par A______ contre la décision rendue le 19 août 2015 par le Vice-président du Tribunal civil dans la cause AC/916/2015.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Aude BAER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