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DAAJ/95/2014 vom 28. Juli 2014</w:t>
      </w:r>
    </w:p>
    <w:p>
      <w:r>
        <w:t>GE Cour de justice, 2014-07-28, FR</w:t>
      </w:r>
    </w:p>
    <w:p>
      <w:r>
        <w:rPr>
          <w:b/>
        </w:rPr>
        <w:t xml:space="preserve">Quelle: </w:t>
      </w:r>
      <w:r>
        <w:t>https://mcp.opencaselaw.ch/entscheid/ge_gerichte_DAAJ_95_2014</w:t>
      </w:r>
    </w:p>
    <w:p>
      <w:r>
        <w:t>FR: GE_GERICHTE DAAJ/95/2014 du 28 juillet 2014</w:t>
      </w:r>
    </w:p>
    <w:p>
      <w:r>
        <w:t>IT: GE_GERICHTE DAAJ/95/2014 del 28 luglio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w:t>
      </w:r>
    </w:p>
    <w:p>
      <w:r>
        <w:t>- 3/5 -</w:t>
      </w:r>
    </w:p>
    <w:p>
      <w:r>
        <w:t>AC/983/2014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Le recourant fait grief au Vice-président du Tribunal civil d'avoir violé l'art. 117 CPC, ainsi que son droit d'être entendu.</w:t>
      </w:r>
    </w:p>
    <w:p>
      <w:r>
        <w:rPr>
          <w:b/>
        </w:rPr>
        <w:t>E. 3.1</w:t>
      </w:r>
    </w:p>
    <w:p>
      <w:r>
        <w:t>L'octroi de l'assistance juridique est notamment subordonné à la condition que le requérant soit dans l'indigence et que sa cause ne paraisse pas dépourvue de toute chances de succès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w:t>
      </w:r>
    </w:p>
    <w:p>
      <w:r>
        <w:t>- 4/5 -</w:t>
      </w:r>
    </w:p>
    <w:p>
      <w:r>
        <w:t>AC/983/2014 On ne peut se fonder sur le seul critère de la possession d'un véhicule automobile pour refuser l'assistance juridique (ATF 124 I 1 consid. 2c p. 4/5 ; CORBOZ, le droit constitutionnel à l'assistance judiciaire, SJ 2003 II 67 p. 77). C'est une toute autre question de savoir si l'assistance juridique peut être refusée, en tout ou en partie, en prenant en compte la valeur patrimoniale d'une voiture dont le produit de la vente pourrait couvrir les frais de procédure (ATF 124 I 1 consid. 2d p. 5).</w:t>
      </w:r>
    </w:p>
    <w:p>
      <w:r>
        <w:rPr>
          <w:b/>
        </w:rPr>
        <w:t>E. 3.2</w:t>
      </w:r>
    </w:p>
    <w:p>
      <w:r>
        <w:t>En l'espèce, le véhicule du recourant est âgé de treize ans. Il est, dès lors, vraisemblablement sans valeur. En tout cas, aucun élément du dossier ne conduit à retenir, le concernant, une valeur patrimoniale significative. Par ailleurs, le budget du recourant présente un solde négatif d'environ 300 fr. Compte tenu de ces deux éléments, il apparaît que le produit d'une vente de son véhicule ne serait pas propre à permettre au recourant de financer lui-même, sans porter atteinte au minimum nécessaire à son entretien, sa défense dans la procédure de modification du jugement de divorce JTPI/8557/2013. La décision querellée, qui viole dès lors l'art. 117 CPC, sera annulée. Etant donné le changement invoqué par le recourant au sujet de ses ressources depuis le jugement de divorce, sa demande de modification de celui-ci ne paraît pas, a priori, dénuée de toute chance de succès. Par conséquent, le recourant sera mis au bénéfice de l'assistance juridique pour cette procédure. Compte tenu notamment du caractère simple et non formel de la procédure en matière d'assistance juridique, lui permettant d'agir seul sans l'aide d'un avocat, le recourant sera débouté de sa conclusion préalable. C'est en ce sens que, selon la pratique constante de l'autorité de céans, aucune indemnité de dépens n'est allouée en matière d'assistance judiciaire.</w:t>
      </w:r>
    </w:p>
    <w:p>
      <w:r>
        <w:rPr>
          <w:b/>
        </w:rPr>
        <w:t>E. 4</w:t>
      </w:r>
    </w:p>
    <w:p>
      <w:r>
        <w:t>Sauf exceptions non réalisées en l'espèce, il n'est pas perçu de frais judiciaires pour la procédure d'assistance juridique (art. 119 al. 6 CPC). * * * * *</w:t>
      </w:r>
    </w:p>
    <w:p>
      <w:r>
        <w:t>- 5/5 -</w:t>
      </w:r>
    </w:p>
    <w:p>
      <w:r>
        <w:t>AC/983/2014 PAR CES MOTIFS, LE VICE-PRÉSIDENT DE LA COUR : A la forme : Déclare recevable le recours formé par A______ contre la décision rendue le 28 juillet 2014 par le Vice-président du Tribunal civil dans la cause AC/983/2014. Au fond : Annule cette décision. Cela fait, statuant à nouveau : Admet A______ au bénéfice de l'assistance juridique, à compter du 9 avril 2014, pour une procédure de modification du jugement de divorce JTPI/8557/2013. Désigne Me Sarah BRAUNSCHMIDT SCHEIDEGGER pour sa défense dans cette procédure. Déboute A______ de toutes autres conclusions. Dit qu'il n'est pas perçu de frais judiciaires pour le recours. Notifie une copie de la présente décision à A______ en l'Étude de Me Sarah BRAUNSCHMIDT SCHEIDEGGER (art. 137 CPC). Siégeant : Monsieur Jean-Marc STRUBIN, vice-président; Monsieur David VAZQUEZ, commis-greffier.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