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DAAJ/94/2021 vom 17. März 2021</w:t>
      </w:r>
    </w:p>
    <w:p>
      <w:r>
        <w:t>GE Cour de justice, 2021-03-17, FR</w:t>
      </w:r>
    </w:p>
    <w:p>
      <w:r>
        <w:rPr>
          <w:b/>
        </w:rPr>
        <w:t xml:space="preserve">Quelle: </w:t>
      </w:r>
      <w:r>
        <w:t>https://mcp.opencaselaw.ch/entscheid/ge_gerichte_DAAJ_94_2021</w:t>
      </w:r>
    </w:p>
    <w:p>
      <w:r>
        <w:t>FR: GE_GERICHTE DAAJ/94/2021 du 17 mars 2021</w:t>
      </w:r>
    </w:p>
    <w:p>
      <w:r>
        <w:t>IT: GE_GERICHTE DAAJ/94/2021 del 17 marzo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- 5/11 -</w:t>
      </w:r>
    </w:p>
    <w:p>
      <w:r>
        <w:t>AC/14/2021</w:t>
      </w:r>
    </w:p>
    <w:p>
      <w:r>
        <w:rPr>
          <w:b/>
        </w:rPr>
        <w:t>E. 1.2</w:t>
      </w:r>
    </w:p>
    <w:p>
      <w:r>
        <w:t>En l'espèce, le recours est recevable pour avoir été interjeté dans le délai utile - le pli réceptionné le 20 avril ayant forcément été envoyé la veille au plus tard - et en la forme écrite prescrite par la loi. Les écritures de recours, au demeurant non signées, ainsi que les pièces reçues au greffe de la Cour de justice le 22 juin 2021 ont été déposées hors du délai précité, de sorte qu'elles sont irrecevables.</w:t>
      </w:r>
    </w:p>
    <w:p>
      <w:r>
        <w:rPr>
          <w:b/>
        </w:rPr>
        <w:t>E. 1.3</w:t>
      </w:r>
    </w:p>
    <w:p>
      <w:r>
        <w:t>Le recours devant être entièrement motivé dans le délai de recours (arrêt du Tribunal fédéral 5A_82/2013 du 18 mars 2013 consid. 3.2-3.4 et 4.3), il ne peut être donné suite à la demande du recourant à pouvoir le compléter.</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édition, n. 2513-2515).</w:t>
      </w:r>
    </w:p>
    <w:p>
      <w:r>
        <w:rPr>
          <w:b/>
        </w:rPr>
        <w:t>E. 2.1</w:t>
      </w:r>
    </w:p>
    <w:p>
      <w:r>
        <w:t>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5A_527/2016 du 16 novembre 2016 consid. 3.3.1; 5A_866/2015 du 2 mai 2016 consid. 1.2).</w:t>
      </w:r>
    </w:p>
    <w:p>
      <w:r>
        <w:rPr>
          <w:b/>
        </w:rPr>
        <w:t>E. 2.2</w:t>
      </w:r>
    </w:p>
    <w:p>
      <w:r>
        <w:t>En l'espèce, le recourant critique la décision AJC/1645/2021 du 17 mars 2021 rendue dans la cause AC/14/2021, relative à sa procédure de divorce, et non la décision AJC/1716/2021 du 19 mars 2021 rendue dans la cause AC/2______/2021, relative à une procédure de séquestre. Dans cette mesure, le recours sera traité comme un recours contre la décision AJC/1645/2021 du 17 mars 2021 rendue dans la cause AC/14/2021.</w:t>
      </w:r>
    </w:p>
    <w:p>
      <w:r>
        <w:rPr>
          <w:b/>
        </w:rPr>
        <w:t>E. 3</w:t>
      </w:r>
    </w:p>
    <w:p>
      <w:r>
        <w:t>Le recourant sollicite un délai pour fournir des pièces.</w:t>
      </w:r>
    </w:p>
    <w:p>
      <w:r>
        <w:rPr>
          <w:b/>
        </w:rPr>
        <w:t>E. 3.1</w:t>
      </w:r>
    </w:p>
    <w:p>
      <w:r>
        <w:t>A teneur de l'art. 326 al. 1 CPC, les allégations de faits et les preuves nouvelles sont irrecevables dans le cadre d'une procédure de recours.</w:t>
      </w:r>
    </w:p>
    <w:p>
      <w:r>
        <w:rPr>
          <w:b/>
        </w:rPr>
        <w:t>E. 3.2</w:t>
      </w:r>
    </w:p>
    <w:p>
      <w:r>
        <w:t>Par conséquent, il n'y a pas lieu d'accorder un délai au recourant pour produire des pièces nouvelles. Par surabondance, on relèvera que celui-ci ne prouve pas avoir été privé de la possibilité de consulter en tout temps les dossiers des procédures le concernant. De plus, le contenu de ces dossiers a été communiqué au recourant au fur et à mesure, ces derniers étant constitués des propres envois du recourant ainsi que des envois des autorités et des parties, lesquels ont été adressés au recourant directement ou en copie.</w:t>
      </w:r>
    </w:p>
    <w:p>
      <w:r>
        <w:rPr>
          <w:b/>
        </w:rPr>
        <w:t>E. 4</w:t>
      </w:r>
    </w:p>
    <w:p>
      <w:r>
        <w:t>Le recourant allègue que "le Tribunal de première instance ne pouvait pas substituer une nouvelle motivation sans violer le droit d'être entendu du recourant" et qu'il aurait "supprimé une possibilité de recours au recourant et a violé le droit d'être entendu de ce dernier, en ne lui permettant pas de se déterminer sur ces éléments. Tous les motifs</w:t>
      </w:r>
    </w:p>
    <w:p>
      <w:r>
        <w:t>- 6/11 -</w:t>
      </w:r>
    </w:p>
    <w:p>
      <w:r>
        <w:t>AC/14/2021 invoqués par le Tribunal de première instance, non invoqués par le tribunal de première instance, doivent donc être écartés de l'arrêt du Tribunal de première instance et considérés comme inexistants. La Cour de Justice est donc prié de ne pas tenir compte des éléments nouveaux mentionnés par le Tribunal de première instance, mais de limiter son examen aux motifs mentionnés dans le jugement de première instance lui- même", formulant une conclusion à cet égard. Ce grief peu compréhensible semble viser la procédure au fond. En tout état, le recourant ne critique pas de façon motivée la décision entreprise, de sorte que ledit grief est irrecevable, de même que la conclusion s'y rapportant. Pour le cas où le recourant reprocherait à la Présidente du Tribunal civil d'avoir préjugé de sa demande de révision et de modification du jugement de divorce, ce grief serait infondé dans la mesure où il incombe précisément à cette autorité d'examiner si un justiciable ne conduit pas, aux frais de l'Etat, des procédures dénuées de chances de succès (DAAJ/105/2012 du 28 septembre 2012 consid. 1.3).</w:t>
      </w:r>
    </w:p>
    <w:p>
      <w:r>
        <w:rPr>
          <w:b/>
        </w:rPr>
        <w:t>E. 5</w:t>
      </w:r>
    </w:p>
    <w:p>
      <w:r>
        <w:t>Le recourant allègue par ailleurs une violation du principe de l'interdiction de l'arbitraire du fait qu'il a été retenu que le recourant aurait un revenu ou une fortune. Or, la décision entreprise ne rejette pas la demande d'assistance juridique du recourant au motif que la condition d'absence de ressources suffisantes ne serait pas remplie, de sorte que ce grief est infondé.</w:t>
      </w:r>
    </w:p>
    <w:p>
      <w:r>
        <w:rPr>
          <w:b/>
        </w:rPr>
        <w:t>E. 6</w:t>
      </w:r>
    </w:p>
    <w:p>
      <w:r>
        <w:t>Dans son recours, le recourant invoque pêle-mêle une violation de la loi, en particulier des art. 117 et suivants CPC, une appréciation arbitraire et un établissement erroné des faits, une violation du droit d'être entendu et un déni de justice formel, une violation du principe de l'égalité, du formalisme excessif, de la proportionnalité, le défaut de motivation, une violation de l'interdiction de l'arbitraire, de l'abus du pouvoir d'appréciation et d'autorité, une inégalité de traitement, une violation du principe de la légalité et de la sécurité juridique, le droit à un procès équitable, l'inopportunité, une violation du droit à une défense nécessaire et efficace, un préjudice irréparable, ainsi que diverses dispositions sur le droit à un défenseur.</w:t>
      </w:r>
    </w:p>
    <w:p>
      <w:r>
        <w:rPr>
          <w:b/>
        </w:rPr>
        <w:t>E. 6.1</w:t>
      </w:r>
    </w:p>
    <w:p>
      <w:r>
        <w:t>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arrêt du Tribunal fédéral 5A_89/2014 du 15 avril 2014 consid. 5.3.2). Le recourant ne peut ainsi se borner à opposer sa propre version des faits à celle du premier juge et il n'est pas entré en matière lorsqu'il n'expose pas avec précision en quoi un point de fait a été établi de manière manifestement inexacte (HOHL, Procédure civile, tome II, 2ème édition, n. 2513 à 2515).</w:t>
      </w:r>
    </w:p>
    <w:p>
      <w:r>
        <w:t>- 7/11 -</w:t>
      </w:r>
    </w:p>
    <w:p>
      <w:r>
        <w:t>AC/14/2021</w:t>
      </w:r>
    </w:p>
    <w:p>
      <w:r>
        <w:rPr>
          <w:b/>
        </w:rPr>
        <w:t>E. 6.2</w:t>
      </w:r>
    </w:p>
    <w:p>
      <w:r>
        <w:t>Les divers griefs invoqués par le recourant sont insuffisamment motivés et ne démontrent pas le caractère erroné de la motivation attaquée. Ils concernent en partie la procédure au fond. Le recourant ne critique pas ce qui a été retenu par l'instance inférieure et les griefs ne permettent pas de comprendre en quoi la Présidente du Tribunal civil aurait établi les faits de manière arbitraire et quelle violation de la loi lui est reprochée. Ils sont ainsi irrecevables.</w:t>
      </w:r>
    </w:p>
    <w:p>
      <w:r>
        <w:rPr>
          <w:b/>
        </w:rPr>
        <w:t>E. 7</w:t>
      </w:r>
    </w:p>
    <w:p>
      <w:r>
        <w:t>Le recourant critique la décision du premier juge en tant qu'elle retient que le contrat de vente du 23 janvier 2019 ne constitue par un fait nouveau ancien mais un fait nouveau nouveau. Il indique que la connaissance le 23 novembre 2020 du résultat de l'expertise du 5 novembre 2020 constitue également un fait nouveau. Le recourant indique toutefois que les faits qui sont constitués par la vente du bien ou son expertise existaient déjà le 13 septembre 2017, mais ont été concrétisés par l'expertise du 5 novembre 2020. Il conteste de plus l'argumentation du premier juge concernant son revenu.</w:t>
      </w:r>
    </w:p>
    <w:p>
      <w:r>
        <w:rPr>
          <w:b/>
        </w:rPr>
        <w:t>E. 7.1</w:t>
      </w:r>
    </w:p>
    <w:p>
      <w:r>
        <w:t>7.1.1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- 8/11 -</w:t>
      </w:r>
    </w:p>
    <w:p>
      <w:r>
        <w:t>AC/14/2021</w:t>
      </w:r>
    </w:p>
    <w:p>
      <w:r>
        <w:rPr>
          <w:b/>
        </w:rPr>
        <w:t>E. 7.1.2</w:t>
      </w:r>
    </w:p>
    <w:p>
      <w:r>
        <w:t>En vertu de l'art. 328 al. 1 let. a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et moyens de preuve postérieurs à la décision. La jurisprudence pose cinq conditions en ce qui concerne les preuves concluantes [ou moyens de preuve concluants] (ATF 143 III 272 consid. 2.2; arrêts du Tribunal fédéral 5A_474/2018 du 10 août 2018 consid. 5.1; 4F_7/2018 du 23 juillet 2018 consid. 2.1.1)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328 al. 1 let. a in fine CPC et 123 al. 2 let. a in fine LTF). En effet, la révision a pour but de rectifier une décision en raison de lacunes ou d'inexactitudes dont elle était affectée au moment où elle a été rendue, et non en raison d'événements postérieurs, ce qui exclut les moyens de preuve dont la date est postérieure. 4° Elles doivent avoir été découvertes seulement après coup. 5° Le requérant n'a pas pu les invoquer, sans faute de sa part, dans la procédure précédente.</w:t>
      </w:r>
    </w:p>
    <w:p>
      <w:r>
        <w:rPr>
          <w:b/>
        </w:rPr>
        <w:t>E. 7.1.3</w:t>
      </w:r>
    </w:p>
    <w:p>
      <w:r>
        <w:t>Qu'il s'agisse de la contribution due à l'entretien de l'ex-époux ou aux enfants, si la situation change notablement, le juge peut la modifier ou la supprimer ou encore la suspendre pour une durée déterminée (art. 129 al. 1 et 286 al. 1 CC). La modification suppose que des faits nouveaux importants et durables soient survenus dans la situation de la personne débirentière ou crédirentière et qui commandent une réglementation différente. La procédure de modification n'a pas pour but de corriger le premier jugement mais de l'adapter aux circonstances nouvelles (ATF 137 III 604 consid. 4.1; arrêts du Tribunal fédéral 5A_186/2012 du 28 juin 2012 consid. 5.2.2; 5A_193/2013 du 30 août 2012 consid. 3). Ce sont les constations de fait et le pronostic effectué dans le premier jugement, d'une part, et les circonstances actuelles et futures prévisibles, d'autre part, qui servent de fondement pour décider si l'on est en présence d'une situation qui s'est modifiée de manière durable et importante (arrêt du Tribunal fédéral 5A_186/2012 du 28 juin 2012 consid. 5.2.2).</w:t>
      </w:r>
    </w:p>
    <w:p>
      <w:r>
        <w:rPr>
          <w:b/>
        </w:rPr>
        <w:t>E. 7.2</w:t>
      </w:r>
    </w:p>
    <w:p>
      <w:r>
        <w:t>En l'espèce, le jugement de divorce a été rendu le 30 août 2019.</w:t>
      </w:r>
    </w:p>
    <w:p>
      <w:r>
        <w:rPr>
          <w:b/>
        </w:rPr>
        <w:t>E. 7.2.1</w:t>
      </w:r>
    </w:p>
    <w:p>
      <w:r>
        <w:t>La question de la valeur vénale de la villa du recourant a été largement débattue devant le juge du divorce de sorte que le recourant aurait dû produire devant le Tribunal tous les documents nécessaires à défendre son point de vue. Le document daté du 23 janvier 2019 dont le recourant se prévaut aujourd'hui ne peut être pris en compte dans le cadre d'une demande de révision puisqu'il s'agit d'un fait qui</w:t>
      </w:r>
    </w:p>
    <w:p>
      <w:r>
        <w:t>- 9/11 -</w:t>
      </w:r>
    </w:p>
    <w:p>
      <w:r>
        <w:t>AC/14/2021 existait lorsque le jugement de divorce a été rendu, était connu du recourant qui, s'il avait fait diligence, l'aurait valablement porté à la connaissance du Tribunal. S'il estimait que le Tribunal avait écarté cette pièce par erreur, il aurait dû l'invoquer dans le cadre de l'appel. Pour sa part, l'expertise privée réalisée en novembre 2020 ne constitue également pas un fait nouveau admissible dans le cadre d'une demande de révision puisqu'elle est postérieure à la décision du Tribunal et, qu'en faisant diligence, le recourant aurait pu la faire réaliser, voire solliciter une expertise judiciaire, dans le cadre de la procédure du jugement de divorce, cas échéant dans le cadre d'une procédure d'appel, étant relevé que l'appel a été déclaré irrecevable faute pour le recourant de s'être acquitté de l'avance de frais requise par la Cour. Les conditions d'une révision du jugement s'agissant de la liquidation du régime matrimonial ne sont donc a priori pas remplies. Par ailleurs, une fois la décision statuant sur la liquidation du régime matrimonial passée en force, la loi ne permet pas, en dehors d'un éventuel cas de révision, qu'elle soit modifiée compte tenu de faits nouveaux. Par conséquent, l'action envisagée par le recourant tendant à la modification du jugement en ce qui concerne la liquidation du régime matrimonial paraît, comme l'a retenu le premier juge, dénuée de chances de succès.</w:t>
      </w:r>
    </w:p>
    <w:p>
      <w:r>
        <w:rPr>
          <w:b/>
        </w:rPr>
        <w:t>E. 7.2.2</w:t>
      </w:r>
    </w:p>
    <w:p>
      <w:r>
        <w:t>Le recourant reproche également au premier juge d'avoir considéré que son action serait dénuée de chance de succès s'agissant de la suppression des contributions d'entretien. Il ne fait pas valoir que des faits existants lors de la procédure de divorce, notamment son état de santé ou ses dettes, n'auraient pas été portés ou n'auraient pu être portés à la connaissance du Tribunal, de sorte que la voie de la révision semble dénuée de chance de succès. Il fait uniquement valoir que le juge du divorce aurait mal apprécié les faits. Or, dans ce cas, le recourant aurait dû appeler du jugement de divorce sur ce point, ce qu'il n'a pas fait. S'agissant de l'action en modification du jugement de divorce, le recourant se limite à faire valoir qu'il est toujours sans emploi sans pour autant alléguer avoir effectué des recherches infructueuses, de sorte que le juge appelé à statuer sur une éventuelle modification considérera que, soit le recourant continue de développer son activité à travers des sociétés, soit il n'a pas fourni les efforts que l'on pouvait attendre de lui pour retrouver un emploi, et refusera, a priori, de modifier le jugement. Si le premier juge n'a pas traité de la LPP, on constatera toutefois que, contrairement à ce que soutient le recourant, le Tribunal avait aussi partagé les avoirs de son ex-épouse. C'est en raison de la compensation opérée entre le montant des avoirs de la précitée et ceux du recourant que seul un transfert des avoirs de ce dernier a été ordonné. Le juge</w:t>
      </w:r>
    </w:p>
    <w:p>
      <w:r>
        <w:t>- 10/11 -</w:t>
      </w:r>
    </w:p>
    <w:p>
      <w:r>
        <w:t>AC/14/2021 du divorce ayant ainsi traité de la question, les chances de succès d'une action en modification sur ce point sont a priori inexistantes. Les chances de succès des procédures envisagées apparaissent ainsi très faibles de sorte que la décision de rejet de la Présidente du Tribunal civil du 17 mars 2021 doit être confirmée, par substitution de motifs. Partant, le recours, infondé, sera rejeté, étant précisé que s'il devait y avoir des faits nouveaux, le recourant sera en mesure de déposer une nouvelle requête d'assistance juridique. Il n'y a pas lieu en conséquence de statuer sur l'effet suspensif sollicité par le recourant ainsi que sur ses conclusions en renvoi pour nouvelle décision. Pour le cas où le recourant aurait formé une requête d'assistance juridique pour la présente procédure de recours, ce qui ne ressort pas clairement de ses conclusions, il sera relevé que l'instance de recours n'est pas compétente pour statuer (cf. art. 1 RAJ).</w:t>
      </w:r>
    </w:p>
    <w:p>
      <w:r>
        <w:rPr>
          <w:b/>
        </w:rPr>
        <w:t>E. 8</w:t>
      </w:r>
    </w:p>
    <w:p>
      <w:r>
        <w:t>Sauf exceptions non réalisées en l'espèce, il n'est pas perçu de frais judiciaires pour la procédure d'assistance juridique (art. 119 al. 6 CPC).</w:t>
      </w:r>
    </w:p>
    <w:p>
      <w:r>
        <w:t>* * * * *</w:t>
      </w:r>
    </w:p>
    <w:p>
      <w:r>
        <w:t>- 11/11 -</w:t>
      </w:r>
    </w:p>
    <w:p>
      <w:r>
        <w:t>AC/14/2021 PAR CES MOTIFS, LE VICE-PRÉSIDENT DE LA COUR : A la forme : Déclare recevable le recours formé par A______ contre la décision rendue le 17 mars 2021 par la Présidente du Tribunal civil dans la cause AC/14/2021.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