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DAAJ/94/2015 vom 12. August 2015</w:t>
      </w:r>
    </w:p>
    <w:p>
      <w:r>
        <w:t>GE Cour de justice, 2015-08-12, FR</w:t>
      </w:r>
    </w:p>
    <w:p>
      <w:r>
        <w:rPr>
          <w:b/>
        </w:rPr>
        <w:t xml:space="preserve">Quelle: </w:t>
      </w:r>
      <w:r>
        <w:t>https://mcp.opencaselaw.ch/entscheid/ge_gerichte_DAAJ_94_2015</w:t>
      </w:r>
    </w:p>
    <w:p>
      <w:r>
        <w:t>FR: GE_GERICHTE DAAJ/94/2015 du 12 août 2015</w:t>
      </w:r>
    </w:p>
    <w:p>
      <w:r>
        <w:t>IT: GE_GERICHTE DAAJ/94/2015 del 12 agosto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 teneur l'art. 326 al. 1 CPC, les conclusions et les allégations de faits nouvelles sont irrecevables dans le cadre d'une procédure de recours.</w:t>
      </w:r>
    </w:p>
    <w:p>
      <w:r>
        <w:t>- 3/6 -</w:t>
      </w:r>
    </w:p>
    <w:p>
      <w:r>
        <w:t>AC/2022/2015 Par conséquent, les nouveaux allégués nouveaux de la recourante sont écartées de la procédure.</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L'art. 115 CC autorise chaque époux à demander le divorce avant l'expiration du délai de deux ans lorsque des motifs sérieux qui ne lui sont pas imputables rendent la continuation du mariage insupportable. Cette cause de divorce - subsidiaire à celle de l'art. 114 CC - permet de déroger à la règle du divorce sur demande unilatérale dans des cas où il serait excessivement rigoureux d'imposer au demandeur de patienter durant le délai légal de séparation. Il s'agit ainsi de déterminer si le maintien du lien légal peut raisonnablement être exigé sur le plan affectif et psychique, autrement dit si la réaction émotionnelle et spirituelle qui pousse le conjoint demandeur à ressentir comme insupportable la perpétuation de ce lien pendant deux ans est objectivement compréhensible, des réactions excessives, suscitées par une susceptibilité particulièrement vive, étant toutefois insuffisantes. Savoir si tel est le cas dépend des circonstances particulières de chaque espèce, de sorte qu'il n'est pas possible, ni souhaitable, d'établir des catégories fermes de motifs sérieux au sens de l'art. 115 CC, la formulation ouverte de cette disposition devant précisément permettre aux tribunaux de tenir compte des circonstances du cas particulier et d'appliquer ainsi</w:t>
      </w:r>
    </w:p>
    <w:p>
      <w:r>
        <w:t>- 4/6 -</w:t>
      </w:r>
    </w:p>
    <w:p>
      <w:r>
        <w:t>AC/2022/2015 les règles du droit et de l'équité (ATF 127 III 129 consid. 3b ; arrêt du Tribunal fédéral 5A_177/2012 du 2 mai 2012 consid. 2.1 et les références jurisprudentielles et de doctrine citées). Ce qui importe ce n'est pas de savoir si l'on peut exiger de l'époux demandeur la reprise de la vie commune, mais si on peut lui imposer la continuation du mariage, en tant que lien légal (ATF 126 III 404 consid. 5b p. 411). La simple séparation des époux pendant une certaine durée, ainsi que l'éloignement ou l'incompatibilité de caractère ne suffisent pas pour que le divorce puisse être demandé unilatéralement. Toutefois, lorsque l'un des époux fait preuve de mépris pour la personnalité de l'autre, on peut en déduire objectivement que le maintien des liens juridique est rendu intolérable (ATF 127 III 129 consid. = SJ 2001 I 263). C'est au juge d'apprécier les circonstances particulières de chaque cas. Peuvent entrer en considération, outre les violences physiques, l'entretien d'une relation tierce, l'infidélité ouverte, le fait de ne pas maintenir de liens avec les enfants du couple alors que ceux-ci expriment leur volonté de telles relations, la grave maladie mentale rendant la relation insupportable, le harcèlement, le dénigrement systématique dans l'entourage sont des motifs sérieux (MONTAVON, Abrégé de droit civil, Art. 1er à 640 CC/LPart., 2013, p. 269).</w:t>
      </w:r>
    </w:p>
    <w:p>
      <w:r>
        <w:rPr>
          <w:b/>
        </w:rPr>
        <w:t>E. 3.2</w:t>
      </w:r>
    </w:p>
    <w:p>
      <w:r>
        <w:t>En l'espèce, c'est à juste titre que le premier juge a retenu qu'à lui seul l'abandon du domicile conjugal ne constituait pas un motif sérieux rendant la continuation du mariage insupportable pour la recourante. En revanche, les conditions dans lesquelles son époux a mis fin à la vie commune – à savoir en se désintéressant totalement de ce qui pouvait advenir d'elle, la laissant totalement livrée à elle-même et en lui refusant les moyens d'entrer en contact avec lui en cas de nécessité, soit un comportement en contradiction avec le devoir de soutien entre époux qui résulte du mariage – rendent a priori objectivement vraisemblable le sentiment de trahison de la recourante et celui de l'atteinte irrémédiable de la confiance placée envers son conjoint. La recourante relève, en outre, à juste titre que le Tribunal fédéral ne s'est jamais prononcé sur un cas identique au sien de sorte que le juge du Tribunal de première instance aura toute latitude pour prendre sa décision dans le cadre de la marge d'appréciation que lui donne l'art. 115 CC. Au vu de ce qui précède, il convient d'admettre que l'action en divorce que souhaite introduire la recourante en application de l'art. 115 CC n'est, a priori, pas dénuée de chances de succès. Par conséquent, la décision querellée sera annulée et et la cause renvoyée au premier juge pour nouvelle décision après examen des conditions d'indigence.</w:t>
      </w:r>
    </w:p>
    <w:p>
      <w:r>
        <w:t>- 5/6 -</w:t>
      </w:r>
    </w:p>
    <w:p>
      <w:r>
        <w:t>AC/2022/2015</w:t>
      </w:r>
    </w:p>
    <w:p>
      <w:r>
        <w:rPr>
          <w:b/>
        </w:rPr>
        <w:t>E. 4</w:t>
      </w:r>
    </w:p>
    <w:p>
      <w:r>
        <w:t>Sauf exceptions non réalisées en l'espèce, il n'est pas perçu de frais judiciaires pour la procédure d'assistance juridique (art. 119 al. 6 CPC). * * * * *</w:t>
      </w:r>
    </w:p>
    <w:p>
      <w:r>
        <w:t>- 6/6 -</w:t>
      </w:r>
    </w:p>
    <w:p>
      <w:r>
        <w:t>AC/2022/2015 PAR CES MOTIFS, LE VICE-PRÉSIDENT DE LA COUR : A la forme : Déclare recevable le recours formé le 27 août 2015 par A______ contre la décision rendue le 12 août 2015 par le Vice-président du Tribunal civil dans la cause AC/2022/2015.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Elodie SKOULIKAS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