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DAAJ/92/2024 vom 14. März 2024</w:t>
      </w:r>
    </w:p>
    <w:p>
      <w:r>
        <w:t>GE Cour de justice, 2024-03-14, FR</w:t>
      </w:r>
    </w:p>
    <w:p>
      <w:r>
        <w:rPr>
          <w:b/>
        </w:rPr>
        <w:t xml:space="preserve">Quelle: </w:t>
      </w:r>
      <w:r>
        <w:t>https://mcp.opencaselaw.ch/entscheid/ge_gerichte_DAAJ_92_2024</w:t>
      </w:r>
    </w:p>
    <w:p>
      <w:r>
        <w:t>FR: GE_GERICHTE DAAJ/92/2024 du 14 mars 2024</w:t>
      </w:r>
    </w:p>
    <w:p>
      <w:r>
        <w:t>IT: GE_GERICHTE DAAJ/92/2024 del 14 marzo 2024</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 LPA - E 5 10), compétence expressément déléguée à la vice-présidente soussignée sur la base des art. 29 al. 5 de la Loi sur l’organisation judiciaire du 26 septembre 2010 (LOJ - E 2 05) et 10 al. 1 du Règlement de la Cour de justice (RCJ - 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(Fabienne HOHL, Procédure civile, tome II, 2ème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Reprenant l'art. 29 al. 3 de la Constitution fédérale de la Confédération suisse du 18 avril 1999 (Cst. - RS 101),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w:t>
      </w:r>
    </w:p>
    <w:p>
      <w:r>
        <w:t>- 5/11 -</w:t>
      </w:r>
    </w:p>
    <w:p>
      <w:r>
        <w:t>AC/613/2024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w:t>
      </w:r>
    </w:p>
    <w:p>
      <w:r>
        <w:t>Selon l’art. 61 LPA, le recours peut être formé pour violation du droit, y compris l’excès et l’abus du pouvoir d’appréciation (let. a), ou pour constatation inexacte ou incomplète des faits pertinents (let. b; al. 1).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w:t>
      </w:r>
    </w:p>
    <w:p>
      <w:r>
        <w:rPr>
          <w:b/>
        </w:rPr>
        <w:t>E. 4.1</w:t>
      </w:r>
    </w:p>
    <w:p>
      <w:r>
        <w:t>Le 1er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2C_737/2019 du 27 septembre 2019 consid. 4.1), les demandes déposées avant le 1er janvier 2019 sont régies par l'ancien droit, étant précisé que la plupart des dispositions de la LEI sont demeurées identiques.</w:t>
      </w:r>
    </w:p>
    <w:p>
      <w:r>
        <w:rPr>
          <w:b/>
        </w:rPr>
        <w:t>E. 4.2</w:t>
      </w:r>
    </w:p>
    <w:p>
      <w:r>
        <w:t>En l'occurrence, la demande d'autorisation de séjour ayant été formée le 17 mars 2022, le dossier de la recourante est soumis aux dispositions de la LEI dans sa teneur en vigueur à partir du 1er janvier 2019.</w:t>
      </w:r>
    </w:p>
    <w:p>
      <w:r>
        <w:rPr>
          <w:b/>
        </w:rPr>
        <w:t>E. 4.3</w:t>
      </w:r>
    </w:p>
    <w:p>
      <w:r>
        <w:t>En vertu de l'art. 43 al. 1 LEI, le conjoint étranger du titulaire d'une autorisation d'établissement a droit à l'octroi d'une autorisation de séjour et à la prolongation de sa durée de validité, à condition de vivre en ménage commun avec lui. Cette disposition requiert non seulement le mariage des époux, mais aussi leur ménage commun (ATF 136 II 113 consid. 3.2).</w:t>
      </w:r>
    </w:p>
    <w:p>
      <w:r>
        <w:rPr>
          <w:b/>
        </w:rPr>
        <w:t>E. 4.4</w:t>
      </w:r>
    </w:p>
    <w:p>
      <w:r>
        <w:t>Selon l'art. 50 al. 1 let. a LEI, après la dissolution de la famille, le droit du conjoint à l'octroi d'une autorisation de séjour et à la prolongation de sa durée de validité en vertu de l'art. 43 LEI subsiste si l'union conjugale a duré au moins trois ans et que l'intégration est réussie. L'union conjugale suppose le mariage en tant que condition formelle ainsi que la vie commune des époux, sous réserve des exceptions de l'art. 49 LEI (arrêts du Tribunal fédéral 2C_594/2010 du 24 novembre 2010 consid. 3.1; 2C_416/2009 du 8 septembre</w:t>
      </w:r>
    </w:p>
    <w:p>
      <w:r>
        <w:t>- 6/11 -</w:t>
      </w:r>
    </w:p>
    <w:p>
      <w:r>
        <w:t>AC/613/2024 2009 consid. 2.1.2; ATA/15/2018 du 9 janvier 2018 consid. 9a et les références citées). La limite légale de trois ans se calcule en fonction de la durée pendant laquelle les époux ont fait ménage commun en Suisse (ATF 136 II 113 consid. 3.3.5; arrêt du Tribunal fédéral 2C_1111/2015 précité consid. 4.1), soit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2C_195/2010 du 23 juin 2010 consid. 5.1; ATA/215/2020 du 25 février 2020 consid. 5b). Il est constant que le législateur suisse ne reconnaît pas le mariage religieux et que seul le mariage civil célébré en Suisse déploie des effets juridiques, à moins d'un jugement d'exéquatur des mariages célébrés à l'étranger (art. 101 et 159 ss du code civil suisse du 10 décembre 1907 - CC - RS 210; arrêt du Tribunal fédéral 2C_1094/2013 du 26 novembre 2013 consid. 3; arrêt du Tribunal administratif fédéral E-2930/2011 du 22 novembre 2012 p. 5; ATA/589/2015 du 9 juin 2015 consid. 8b ; ATA/674/2014 du 26 août 2014 consid. 6a). Il n'est pas nécessaire d'examiner la condition de la réussite de l'intégration lorsque l'union conjugale a duré moins de trois ans, les deux conditions étant cumulatives (ATF 136 II 113 consid. 3.3.3; arrêts du Tribunal fédéral 2C_352/2014 du 18 mars 2015 consid. 4; 2C_220/2014 du 4 juillet 2014 consid. 2.2; ATA/15/2018 précité consid. 9b).</w:t>
      </w:r>
    </w:p>
    <w:p>
      <w:r>
        <w:rPr>
          <w:b/>
        </w:rPr>
        <w:t>E. 5.1</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arrêts du Tribunal fédéral 2C_500/2014 du 18 juillet 2014 consid. 7.1;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137 II 1 consid. 4.1).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(ATF 138 II 393 consid. 3.1; 137 II 345 consid. 3.2.1; 137 II 1 consid. 3; arrêt</w:t>
      </w:r>
    </w:p>
    <w:p>
      <w:r>
        <w:t>- 7/11 -</w:t>
      </w:r>
    </w:p>
    <w:p>
      <w:r>
        <w:t>AC/613/2024 du Tribunal administratif fédéral F-626/2019 du 22 mars 2021 consid. 8.1; ATA/215/2020 du 25 février 2020 consid. 6a).</w:t>
      </w:r>
    </w:p>
    <w:p>
      <w:r>
        <w:rPr>
          <w:b/>
        </w:rPr>
        <w:t>E. 5.2</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arrêt du Tribunal fédéral 2C_822/2013 du 25 janvier 2014 consid. 5.2; ATA/981/2019 du 4 juin 2019 consid. 6b et l'arrêt cité).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137 II 345 consid. 3.2.1 à 3.2.3).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rPr>
          <w:b/>
        </w:rPr>
        <w:t>E. 5.3</w:t>
      </w:r>
    </w:p>
    <w:p>
      <w:r>
        <w:t>A teneur de l'art. 31 al. 1 OASA, une autorisation de séjour peut être octroyée dans les cas individuels d'extrême gravité; lors de l'appréciation, il convient de tenir compte notamment : de l'intégration du requérant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2A_543/2001 du 25 avril 2002 consid. 5.2; ATA/981/2019 précité consid. 6c et l'arrêt cité). A elles seules, la longue durée du séjour et l'intégration (travail régulier, absence de condamnations et de dépendance à l'aide sociale) ne suffisent pas à rendre la poursuite du séjour imposable au sens de l'art. 50 al. 1 let. b LEI (ATA/775/2018 du 24 juillet 2018 consid. 4d et les références citées).</w:t>
      </w:r>
    </w:p>
    <w:p>
      <w:r>
        <w:t>- 8/11 -</w:t>
      </w:r>
    </w:p>
    <w:p>
      <w:r>
        <w:t>AC/613/2024</w:t>
      </w:r>
    </w:p>
    <w:p>
      <w:r>
        <w:rPr>
          <w:b/>
        </w:rPr>
        <w:t>E. 5.4</w:t>
      </w:r>
    </w:p>
    <w:p>
      <w:r>
        <w:t>Selon la jurisprudence, il existe au Kosovo sept centres de traitements ambulatoires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«Maisons de l'intégration» ont vu le jour dans certaines villes. Ces établissements logent des personnes atteintes de troubles mineurs de la santé mentale dans des appartements protégés et leur proposent un soutien thérapeutique et socio‑psychologique (arrêts du Tribunal administratif fédéral F‑7044/2014 du 19 juillet 2016 consid. 5.5.4; C 2748/2012 du 21 octobre 2014 consid. 8.2.4.3; C‑5631/2013 du 5 mars 2014 consid. 5.3.3 et la jurisprudence citée; ATA/539/2022 du 24 mai 2022 consid. 8f; ATA/821/2021 du 10 août 2021 consid. 3f et les arrêts cités, confirmé par arrêt du Tribunal fédéral 2C_671/2021 du 15 février 2022 consid. 8.2 et les références citées).</w:t>
      </w:r>
    </w:p>
    <w:p>
      <w:r>
        <w:rPr>
          <w:b/>
        </w:rPr>
        <w:t>E. 6</w:t>
      </w:r>
    </w:p>
    <w:p>
      <w:r>
        <w:t>En l'espèce, le mariage de la recourante avec E______ n’étant plus d’actualité au vu du dossier, il semble donc qu’à première vue, il n’existe pas de raison d’entrer en matière sur une demande d’autorisation de séjour en vue de préparer ledit mariage, ce que la recourante ne conteste pas. De prime abord, l’art. 50 LEI ne serait d’aucun secours à la recourante, cette dernière n’étant précisément pas mariée avec le précité. L’existence, alléguée mais non démontrée d’un mariage coutumier ne modifie a priori pas la conclusion qui précède. En effet, s'agissant de l'application de l'art. 50 LEI, comme déjà mentionné, le législateur suisse ne reconnait pas le mariage religieux, a fortiori un mariage coutumier, pour autant que ce dernier existe d’ailleurs, les quelques photographies produites du couple ne suffisant pas à le démontrer. Dans ces circonstances, il n’apparaît pas qu’elle puisse se prévaloir de cette disposition puisqu'elle n'a jamais été mariée en Suisse. Ainsi, dans la mesure où les deux conditions posées par l’art. 50 al. 1 let. a LEI sont cumulatives et que la première d’entre elles n’est pas remplie, il n’y a pas lieu d’examiner, dans un examen limité à la vraisemblance, si l’intégration de la recourante est réussie ou si sa situation est constitutive de «raisons personnelles majeures». Cette dernière ne peut ainsi déduire aucun droit de l’art. 50 LEI. Sous l’angle des critères de l’art. 31 al. 1 OASA, la recourante est arrivée en Suisse le 12 décembre 2021, selon ses explications, soit à l’âge de 44 ans. La durée de son séjour ne peut donc être qualifiée de longue. Elle a en outre passé son enfance, adolescence et le début de sa vie d'adulte au Kosovo, soit des périodes déterminantes pour le développement de la personnalité. Elle connaît les us et coutumes de son pays d'origine et en maîtrise la langue. Ainsi, son intégration en Suisse ne paraît pas revêtir un caractère exceptionnel. Sa situation financière semble de prime abord précaire, en raison de son recours à l’aide sociale. Enfin, elle ne soutient a priori pas qu'elle aurait acquis en Suisse des connaissances professionnelles à ce point spécifiques qu'elle ne pourrait les exercer à l'étranger. S'agissant de l'intégration de l'intéressée sur le plan social, il semble qu’a priori celle-ci ne fasse état d'aucune attache particulière en Suisse. Il ne ressort en outre pas des pièces</w:t>
      </w:r>
    </w:p>
    <w:p>
      <w:r>
        <w:t>- 9/11 -</w:t>
      </w:r>
    </w:p>
    <w:p>
      <w:r>
        <w:t>AC/613/2024 au dossier qu'elle serait de prime abord particulièrement investie dans la vie associative et culturelle locale. Enfin, le fait qu’elle allègue suivre des cours de français ne suffit pas à retenir une intégration supérieure à celle de la moyenne des étrangers dans une situation similaire. Ainsi, la réintégration de la recourante dans son pays ne semble pas fortement compromise au sens de la jurisprudence. La recourante se prévaut également de son état de santé, dont la dégradation découlerait des violences conjugales subies. Les documents versés au dossier indiquent que la recourante a effectivement consulté une association dans le cadre des violences alléguées et qu’une intervention de la police a eu lieu dans ce contexte au domicile des concubins. Ils n’attestent toutefois pas de la récurrence de celles-ci ni de leur gravité. Si l’état de santé de la recourante paraît en avoir pâti, rien n’indique qu’a priori la recourante ne pourrait poursuivre son suivi psychologique, de même que son traitement médicamenteux dans son pays d’origine, qui dispose, selon la jurisprudence, de structures adéquates. Dès lors, de prime abord, la situation médicale de la recourante ne parait pas assimilable à une situation d'extrême gravité propre à fonder l'application de l'art. 30 al. 1 let. b LEI au sens de la jurisprudence précitée. Dans ces circonstances, a priori, il ne semble pas ressortir du dossier que les difficultés auxquelles la recourante devrait faire face en cas de retour au Kosovo seraient pour elle plus importantes que pour les compatriotes confrontés à la même obligation de se réinsérer. Au vu de ce qui précède et du dossier en mains de l'Autorité de céans, le recours auprès du TAPI contre la décision de l’OCPM paraît à première vue dépourvu de chances de succès.</w:t>
      </w:r>
    </w:p>
    <w:p>
      <w:r>
        <w:rPr>
          <w:b/>
        </w:rPr>
        <w:t>E. 7.1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w:t>
      </w:r>
    </w:p>
    <w:p>
      <w:r>
        <w:rPr>
          <w:b/>
        </w:rPr>
        <w:t>E. 7.2</w:t>
      </w:r>
    </w:p>
    <w:p>
      <w:r>
        <w:t>A teneur de l'art. 83 LEI, le renvoi d'un étranger ne peut être ordonné que si l'exécution de celui-ci est possible, licite ou peut être raisonnablement exigée (al. 1). L'exécution du renvoi n'est pas possible lorsque l'intéressé ne peut quitter la Suisse pour son Etat d'origine, son Etat de provenance ou un Etat tiers ni être renvoyé dans un de ces Etats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 S'agissant plus spécifiquement des personnes en traitement médical en Suisse, l'exécution du renvoi ne devient inexigible, en cas de retour dans leur pays d'origine ou</w:t>
      </w:r>
    </w:p>
    <w:p>
      <w:r>
        <w:t>- 10/11 -</w:t>
      </w:r>
    </w:p>
    <w:p>
      <w:r>
        <w:t>AC/613/2024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ATA/895/2019 précité consid. 7d; ATA/801/2018 précité consid. 10d et les arrêts cités).</w:t>
      </w:r>
    </w:p>
    <w:p>
      <w:r>
        <w:rPr>
          <w:b/>
        </w:rPr>
        <w:t>E. 7.3</w:t>
      </w:r>
    </w:p>
    <w:p>
      <w:r>
        <w:t>En l'espèce, la recourante n'allègue pas que l'exécution de son retour dans son pays d'origine serait impossible, illicite ou inexigible au regard de l'art. 83 LEI. Elle ne rend toutefois pas vraisemblable, de prime abord, que celles-ci ne seraient pas disponibles au Kosovo et il n’apparaît pas que tel soit le cas. Le dossier ne laisse pas apparaître a priori d'éléments qui tendraient à démontrer le contraire. Le renvoi de la recourante apparaît ainsi possible, licite et raisonnablement exigible, de sorte qu’il appartenait à l’OCPM de le prononcer. Au vu de ce qui précède, la vice-présidence du Tribunal civil était fondée à retenir que les chances de succès du recours de la recourante auprès du TAPI paraissaient faibles. C'est donc de manière conforme au droit qu'elle a refusé d'octroyer le bénéfice de l'assistance judiciaire à la recourante aux fins d'avancer les frais relatifs audit recours. La recourante affirme enfin que le refus d'octroi de l'assistance judiciaire entraverait son droit d’accès à la justice. Elle perd cependant de vue que l'assistance judiciaire a certes pour but de garantir l'accès à la justice, mais que l'octroi de l'aide étatique est notamment subordonné à la condition que la procédure engagée ou envisagée ne soit pas dépourvue de chances de succès (DAAJ/8/2020 du 3 mars 2020 consid. 2.3), condition qui n'est pas remplie en l'occurrence, comme il a été vu précédemment. Au vu de ce qui précède, le recours contre la décision de l'Autorité de première instance, mal fondé, sera rejeté.</w:t>
      </w:r>
    </w:p>
    <w:p>
      <w:r>
        <w:rPr>
          <w:b/>
        </w:rPr>
        <w:t>E. 8</w:t>
      </w:r>
    </w:p>
    <w:p>
      <w:r>
        <w:t>Sauf exceptions non réalisées en l'espèce, il n'est pas perçu de frais judiciaires pour la procédure d'assistance juridique (art. 119 al. 6 CPC). Compte tenu de l'issue du litige, il n'y a pas lieu à l'octroi de dépens. * * * * *</w:t>
      </w:r>
    </w:p>
    <w:p>
      <w:r>
        <w:t>- 11/11 -</w:t>
      </w:r>
    </w:p>
    <w:p>
      <w:r>
        <w:t>AC/613/2024</w:t>
      </w:r>
    </w:p>
    <w:p>
      <w:r>
        <w:t>PAR CES MOTIFS, LA VICE-PRÉSIDENTE DE LA COUR : A la forme : Déclare recevable le recours formé le 24 avril 2024 par A______ contre la décision rendue le 14 mars 2024 par la vice-présidence du Tribunal civil dans la cause AC/613/2024. Au fond : Le rejette. Déboute A______ de toutes autres conclusions. Dit qu'il n'est pas perçu de frais judiciaires pour le recours, ni alloué de dépens. Notifie une copie de la présente décision à A______, soit pour elle à C______, juriste à D______ [institution sociale], mandataire de la recourante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