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DAAJ/92/2014 vom 10. Juli 2014</w:t>
      </w:r>
    </w:p>
    <w:p>
      <w:r>
        <w:t>GE Cour de justice, 2014-07-10, FR</w:t>
      </w:r>
    </w:p>
    <w:p>
      <w:r>
        <w:rPr>
          <w:b/>
        </w:rPr>
        <w:t xml:space="preserve">Quelle: </w:t>
      </w:r>
      <w:r>
        <w:t>https://mcp.opencaselaw.ch/entscheid/ge_gerichte_DAAJ_92_2014</w:t>
      </w:r>
    </w:p>
    <w:p>
      <w:r>
        <w:t>FR: GE_GERICHTE DAAJ/92/2014 du 10 juillet 2014</w:t>
      </w:r>
    </w:p>
    <w:p>
      <w:r>
        <w:t>IT: GE_GERICHTE DAAJ/92/2014 del 10 luglio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w:t>
      </w:r>
    </w:p>
    <w:p>
      <w:r>
        <w:t>- 6/8 -</w:t>
      </w:r>
    </w:p>
    <w:p>
      <w:r>
        <w:t>AC/1405/2014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Concernant le défendeur à une action, les chances de succès de la cause s'examinent de la même manière que pour un demandeur, à moins que la procédure ne commande de spécifiquement prendre en compte son rôle de partie (Arrêt du Tribunal fédéral 5A_590/2009 du 6 janvier 2010 consid. 3.1.3), notamment dans les causes relatives au droit de la famille (BÜHLER, Kommentar zur schweizerischen Privatrecht, Berner Kommentar, 2012, n. 233b et 241a ad art. 117 ZPO). En effet, il peut également être exigé du défendeur qu'il ne procède pas de manière inutile (cf. arrêt précité ; BÜHLER, op. cit.).</w:t>
      </w:r>
    </w:p>
    <w:p>
      <w:r>
        <w:rPr>
          <w:b/>
        </w:rPr>
        <w:t>E. 2.2</w:t>
      </w:r>
    </w:p>
    <w:p>
      <w:r>
        <w:t>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Cependant, étant donné que dans le cautionnement, la forme authentique est requise pour la protection du garant contre des engagements auxquels celui-ci n'aurait pas mûrement réfléchi, le juge n'admet qu'avec retenue le choix des parties en faveur de la promesse de porte-fort ou de l'engagement solidaire ; dans le doute, indépendamment des termes dans lesquels une personne physique a déclaré qu'elle garantirait l'obligation d'un tiers, cette personne est réputée avoir contracté un cautionnement (ATF 129 III 702 consid. 2.3 et 2.5). L'ATF 129 précité a été rendu dans le cas d'un engagement – qualifié de cautionnement par le Tribunal fédéral – pris en faveur d'un père par sa fille majeure. Dans un arrêt 4C.24/2007 du 26 avril 2007 (et jurisprudence citée), le Tribunal fédéral a examiné la situation de deux actionnaires et administrateurs d'une société anonyme qui avaient signé un engagement de codébiteurs solidaires auprès de la banque qui avait accordé un prêt à ladite société anonyme. Les juges fédéraux ont estimé que l'engagement solidaire doit être admis, à l'exclusion du cautionnement de l'art. 493 CO,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(consid. 5).</w:t>
      </w:r>
    </w:p>
    <w:p>
      <w:r>
        <w:rPr>
          <w:b/>
        </w:rPr>
        <w:t>E. 2.3</w:t>
      </w:r>
    </w:p>
    <w:p>
      <w:r>
        <w:t>En l'espèce, les éléments pertinents suivants sont déterminants : la recourante a signé un engagement solidaire en faveur de la société, destiné à l'exploitation de cette entité dont elle est actionnaire et administratrice, ce à quoi s'ajoute qu'elle est l'épouse de l'actionnaire majoritaire de la société en question.</w:t>
      </w:r>
    </w:p>
    <w:p>
      <w:r>
        <w:t>- 7/8 -</w:t>
      </w:r>
    </w:p>
    <w:p>
      <w:r>
        <w:t>AC/1405/2014 A première vue, sur la base de ces éléments, la recourante avait un intérêt économique propre à l'affaire, ne serait-ce qu'en tant que bénéficiaire du droit à l'entretien de la part de son mari, bénéficiaire principal des revenus provenant de la société. L'intérêt économique de la recourante devait être connu de la banque à tout le moins selon l'expérience de la vie et des affaires. Les conditions de validité de l'engagement de codébiteurs solidaires apparaissent donc comme étant réunies. Tel serait également le cas même s'il s'avérait, grâce aux témoignages sollicités, que la recourante n'était pas impliquée dans les affaires de la société. De ce point de vue, l'argument de la recourante tiré de la violation par le Tribunal civil de son droit d'être entendu n'est pas pertinent pour juger des chances de succès sur le fond de la cause (arrêt du Tribunal fédéral 2D_46/2012 du 16 janvier 2013 consid. 4.2.2). Par conséquent, les perspectives de la recourante de gagner le procès en appel sont notablement plus faibles que les risques de le perdre, au point qu'une personne raisonnable et de condition aisée renoncerait à s'y engager. Compte tenu de ce qui précède, c'est à bon droit que le premier juge a rejeté la demande d'assistance juridique de la recourante au motif que l'appel apparaissait dénué de chances de succès.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- 8/8 -</w:t>
      </w:r>
    </w:p>
    <w:p>
      <w:r>
        <w:t>AC/1405/2014 PAR CES MOTIFS, LE VICE-PRÉSIDENT DE LA COUR : A la forme : Déclare recevable le recours formé par A______ contre la décision rendue le 10 juillet 2014 par le Vice-président du Tribunal civil dans la cause AC/1405/2014. Au fond : Rejette le recours. Déboute A______ de toutes autres conclusions. Dit qu'il n'est pas perçu de frais judiciaires, ni alloué de dépens. Notifie une copie de la présente décision à A______ en l'Étude de Me Julien FIVAZ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