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DAAJ/90/2019 vom 8. April 2019</w:t>
      </w:r>
    </w:p>
    <w:p>
      <w:r>
        <w:t>GE Cour de justice, 2019-04-08, FR</w:t>
      </w:r>
    </w:p>
    <w:p>
      <w:r>
        <w:rPr>
          <w:b/>
        </w:rPr>
        <w:t xml:space="preserve">Quelle: </w:t>
      </w:r>
      <w:r>
        <w:t>https://mcp.opencaselaw.ch/entscheid/ge_gerichte_DAAJ_90_2019</w:t>
      </w:r>
    </w:p>
    <w:p>
      <w:r>
        <w:t>FR: GE_GERICHTE DAAJ/90/2019 du 8 avril 2019</w:t>
      </w:r>
    </w:p>
    <w:p>
      <w:r>
        <w:t>IT: GE_GERICHTE DAAJ/90/2019 del 8 aprile 2019</w:t>
      </w:r>
    </w:p>
    <w:p>
      <w:pPr>
        <w:pStyle w:val="Heading2"/>
      </w:pPr>
      <w:r>
        <w:t>Erwägungen</w:t>
      </w:r>
    </w:p>
    <w:p>
      <w:r>
        <w:rPr>
          <w:b/>
        </w:rPr>
        <w:t>E. 1.1</w:t>
      </w:r>
    </w:p>
    <w:p>
      <w:r>
        <w:t>La décision entreprise est sujette à recours auprès du président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et 17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2ème éd. 2010,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produite ne seront pas pris en considération.</w:t>
      </w:r>
    </w:p>
    <w:p>
      <w:r>
        <w:rPr>
          <w:b/>
        </w:rPr>
        <w:t>E. 3.1</w:t>
      </w:r>
    </w:p>
    <w:p>
      <w:r>
        <w:t>Reprenant l'art. 29 al. 3 Cst., l'art. 117 CPC (applicable à titre de droit cantonal supplétif ;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- 5/12 -</w:t>
      </w:r>
    </w:p>
    <w:p>
      <w:r>
        <w:t>AC/2125/2018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Les faits concernant le recourant s'étant intégralement déroulés avant le 1er janvier 2019, ils sont soumis aux dispositions de la loi fédérale sur les étrangers et l'intégration du 16 décembre 2005 (LEI - RS 142.20; anciennement dénommée loi fédérale sur les étrangers - LEtr), dans sa teneur en vigueur jusqu'au 31 décembre 2018, étant précisé que la plupart des dispositions de celle-ci sont demeurées identiques.</w:t>
      </w:r>
    </w:p>
    <w:p>
      <w:r>
        <w:rPr>
          <w:b/>
        </w:rPr>
        <w:t>E. 3.2.2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w:t>
      </w:r>
    </w:p>
    <w:p>
      <w:r>
        <w:rPr>
          <w:b/>
        </w:rPr>
        <w:t>E. 3.2.3</w:t>
      </w:r>
    </w:p>
    <w:p>
      <w:r>
        <w:t>L’art. 30 al. 1 let. b LEI permet de déroger aux conditions d’admission en Suisse, telles que prévues aux art. 18 à 29 LEI, notamment aux fins de tenir compte des cas individuels d’une extrême gravité ou d’intérêts publics majeurs.</w:t>
      </w:r>
    </w:p>
    <w:p>
      <w:r>
        <w:rPr>
          <w:b/>
        </w:rPr>
        <w:t>E. 3.2.4</w:t>
      </w:r>
    </w:p>
    <w:p>
      <w:r>
        <w:t>L'art. 31 al. 1 OASA, dans sa teneur en vigueur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w:t>
      </w:r>
    </w:p>
    <w:p>
      <w:r>
        <w:t>- 6/12 -</w:t>
      </w:r>
    </w:p>
    <w:p>
      <w:r>
        <w:t>AC/2125/2018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[ci-après : SEM], domaine des étrangers, 2013, état au 1er juin 2019, ch. 5.6.10 [ci-après : directives SEM]).</w:t>
      </w:r>
    </w:p>
    <w:p>
      <w:r>
        <w:rPr>
          <w:b/>
        </w:rPr>
        <w:t>E. 3.2.5</w:t>
      </w:r>
    </w:p>
    <w:p>
      <w:r>
        <w:t>Les dispositions dérogatoires des art. 30 LEI et 31 OASA présentent un caractère exceptionnel et les conditions pour la reconnaissance d’une telle situation doivent être appréciées de manière restrictive (ATF 128 II 200 consid. 4; ATA/38/2019 du 15 janvier 2019 consid. 4c;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124 II 110 consid. 2; ATA/38/2019 précité consid. 4c; Directives SEM, op. cit., ch. 5.6).</w:t>
      </w:r>
    </w:p>
    <w:p>
      <w:r>
        <w:rPr>
          <w:b/>
        </w:rPr>
        <w:t>E. 3.2.6</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 cet égard, les relations de travail, d’amitié ou de voisinage que l’intéressé a pu nouer pendant son séjour ne constituent normalement pas des liens si étroits avec la Suisse qu’ils justifieraient une exception (ATF 130 II 39 consid. 3; 124 II 110 consid. 3; arrêts du Tribunal fédéral 2C_754/2018 du 28 janvier 2019 consid. 7.2; 2A_718/2006 du 21 mars 2007 consid. 3;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w:t>
      </w:r>
    </w:p>
    <w:p>
      <w:r>
        <w:t>- 7/12 -</w:t>
      </w:r>
    </w:p>
    <w:p>
      <w:r>
        <w:t>AC/2125/2018 le plan familial, susceptibles de faciliter sa réintégration (arrêt du Tribunal fédéral 2A_543/2001 du 25 avril 2002 consid. 5.2; arrêts du Tribunal administratif fédéral C-5414/2013 précité consid. 5.1.4 ; C-6379/2012 et C-6377/2012 du 17 novembre 2014 consid. 4.3; C-1240/2012 du 24 juillet 2014 consid. 5.3; ATA/38/2019 précité consid. 4d).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arrêt du Tribunal fédéral 2D_13/2016 du 11 mars 2016 consid. 3.2).</w:t>
      </w:r>
    </w:p>
    <w:p>
      <w:r>
        <w:rPr>
          <w:b/>
        </w:rPr>
        <w:t>E. 3.2.7</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2A_245/2004 du 13 juillet 2004 consid. 4.2.1; 2A.255/1994 du 9 décembre 1994 consid. 3). Au contraire, dans la procédure d’exemption des mesures de limitation, seules des raisons exclusive- ment humanitaires sont déterminantes, ce qui n’exclut toutefois pas de prendre en compte les difficultés rencontrées par le requérant à son retour dans son pays d’un point de vue personnel, familial et économique (ATF 123 II 125 consid. 3;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2C_369/2010 du 4 novembre 2010 consid. 4.1).</w:t>
      </w:r>
    </w:p>
    <w:p>
      <w:r>
        <w:rPr>
          <w:b/>
        </w:rPr>
        <w:t>E. 3.2.8</w:t>
      </w:r>
    </w:p>
    <w:p>
      <w:r>
        <w:t>Enfin,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w:t>
      </w:r>
    </w:p>
    <w:p>
      <w:r>
        <w:t>- 8/12 -</w:t>
      </w:r>
    </w:p>
    <w:p>
      <w:r>
        <w:t>AC/2125/2018 la santé ne saurait se fonder uniquement sur ce motif médical pour réclamer une telle exemption (ATF 128 II 200 consid. 5.3; ATA/1234/2017 du 29 août 2017 consid. 7a; ATA/609/2017 du 30 mai 2017 consid. 9e).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C-3216/2010 du 29 janvier 2014 consid. 3.6; C-5710/2011 du 13 décembre 2013 consid. 5.1; C-3513/2007 du</w:t>
      </w:r>
    </w:p>
    <w:p>
      <w:r>
        <w:rPr>
          <w:b/>
        </w:rPr>
        <w:t>E. 3.2.9</w:t>
      </w:r>
    </w:p>
    <w:p>
      <w:r>
        <w:t>Selon la jurisprudence récente du Tribunal administratif fédéral,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E-6733/2016 et E-6731/2016 du 21 novembre 2018 consid. 4.5.1 ; F-7044/2014 du 19 juillet 2016 consid. 5.5.4 ; C-2748/2012 du 21 octobre 2014 ; C-5631/2013 du 5 mars 2014 consid. 5.3.3 et jurisprudence citée; ATA/1455/2017 du 31 octobre 2017 consid. 8c).</w:t>
      </w:r>
    </w:p>
    <w:p>
      <w:r>
        <w:rPr>
          <w:b/>
        </w:rPr>
        <w:t>E. 3.3</w:t>
      </w:r>
    </w:p>
    <w:p>
      <w:r>
        <w:t>3.3.1. 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LEI). L'exécution du renvoi n'est pas possible lorsque l'intéressé ne peut quitter la Suisse pour son État d'origine, son État de provenance ou un État tiers ni être renvoyé dans un de ces États (al. 2 LEI). Elle n'est pas licite lorsque le renvoi serait contraire aux engagements internationaux de la Suisse (al. 3 LEI). Elle n'est pas raisonnablement exigible si elle met concrètement en danger l'étranger, par exemple en cas de guerre, de guerre civile, de violence généralisée ou de nécessité médicale (al. 4 LEI).</w:t>
      </w:r>
    </w:p>
    <w:p>
      <w:r>
        <w:t>- 9/12 -</w:t>
      </w:r>
    </w:p>
    <w:p>
      <w:r>
        <w:t>AC/2125/2018 L'art. 83 al. 7 LEI précise que l'admission provisoire visée aux al. 2 et 4 n'est notamment pas ordonnée lorsque l'étranger a été condamné à une peine privative de liberté de longue durée en Suisse ou à l'étranger ou a fait l'objet d'une mesure pénale au sens des art. 59 à 61 ou 64 CP (let. a).</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ATA/801/2018 du 7 août 2018 consid. 10d et l'arrêt cité).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ATA/801/2018 précité consid. 10d et les arrêts cités).</w:t>
      </w:r>
    </w:p>
    <w:p>
      <w:r>
        <w:rPr>
          <w:b/>
        </w:rPr>
        <w:t>E. 3.4</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3.5</w:t>
      </w:r>
    </w:p>
    <w:p>
      <w:r>
        <w:t>En l'espèce, le recourant est en Suisse depuis un peu plus de neuf ans. Cette durée doit toutefois être fortement relativisée puisqu'elle fait suite à un mandat d'arrêt international et s'inscrit dans le cadre d'une condamnation à une peine privative de liberté de trente mois suspendue au profit d'un traitement psychiatrique institutionnel en hôpital. Par ailleurs, le recourant ne peut pas se prévaloir d'une bonne intégration sociale, puisqu'il a été condamné pénalement pour tentative d'assassinat, étant relevé en outre que le bien juridique lésé est extrêmement important puisqu'il s'agit de la vie et l'intégrité corporelle. Si l'état de santé du recourant du recourant n'a pas à être minimisé, force est de constater que, d'une part, sa maladie est désormais stable, ce qui a d'ailleurs justifié la mise en place d'un traitement ambulatoire selon le jugement du TAPEM du 10 mars 2016, et, d'autre part, que le Kosovo dispose d'infrastructures hospitalières ainsi que de moyens</w:t>
      </w:r>
    </w:p>
    <w:p>
      <w:r>
        <w:t>- 10/12 -</w:t>
      </w:r>
    </w:p>
    <w:p>
      <w:r>
        <w:t>AC/2125/2018 permettant au recourant de poursuivre son traitement et le suivi psychiatrique dont il a besoin, ce d'autant plus que sa mère réside dans une des villes qui accueille un des centres de traitement ambulatoire pour les maladies psychiques (______), selon le jugement du TAPI précité. En outre, il existe au Kosovo des « Maisons de l'intégration » consistant en des appartements protégés et proposant un soutien thérapeutique et socio-psychologique, ce qui constituerait également une solution envisageable pour le suivi psychiatrique du recourant. Par ailleurs, il ressort de ce même jugement que le recourant, sur le plan médicamenteux, ne prend plus que du F______ (10mg le matin et le soir). Or, le principe actif de ce médicament [l'olanzapine] est disponible au Kosovo, selon le rapport établi par le SEM du 11 février 2016 cité par le TAPI. Enfin, il ne ressort pas prima facie du dossier que le recourant se trouverait dans un lien si étroit avec la Suisse qu'il serait impossible pour lui de retourner dans son pays d'origine. Il s'avère au contraire que, sous l'angle familial, sa mère vit au Kosovo et qu'elle s'est engagée à l'accueillir chez elle. Compte tenu de ces éléments, il n'apparaît pas que le recourant remplisse les conditions pour pouvoir bénéficier d'une autorisation de séjour pour cas de rigueur au sens de l'art. 30 al. 1 let. b LEI. Quant à la problématique de l'exécution du renvoi et comme vu supra, le Kosovo dispose des infrastructures hospitalières et des moyens permettant au recourant de poursuivre le suivi psychiatrique ainsi que le traitement médicamenteux dont il a besoin. En outre, il ressort du jugement du TAPI précité que l'OCPM envisage, à titre exceptionnel, de prendre en charge les frais relatifs à la fourniture de ses médicaments pour une durée de deux ans, ce qui lui laissera le temps de trouver un emploi afin de subvenir à ses besoins, étant relevé qu'il ne soutient pas être en incapacité de travail. En tout état de cause et dans la mesure où le recourant a fait l'objet d'une mesure pénale au sens de l'art. 59 CP, il ne peut pas bénéficier de l'admission provisoire pour motif de nécessité médicale visée à l'al. 4 de l'art. 83 LEI (art. 83 al. 7 let. a LEI). Il n'apparaît dès lors a priori pas que l'exécution du retour du recourant dans son pays d'origine serait illicite, ne serait pas possible, ou ne pourrait raisonnablement pas être exigée. Compte tenu de ce qui précède, c'est de manière conforme au droit que l'autorité de première instance a refusé l'extension de l'assistance juridique au recourant, au motif qu'un recours à l'encontre du jugement du TAPI précité était dénué de chances de succès. Partant, le recours, infondé, sera rejeté. 4. Sauf exceptions non réalisées en l'espèce, il n'est pas perçu de frais judiciaires pour la procédure d'assistance juridique (art. 119 al. 6 CPC). Par ailleurs, il n'y a pas lieu à</w:t>
      </w:r>
    </w:p>
    <w:p>
      <w:r>
        <w:t>- 11/12 -</w:t>
      </w:r>
    </w:p>
    <w:p>
      <w:r>
        <w:t>AC/2125/2018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- 12/12 -</w:t>
      </w:r>
    </w:p>
    <w:p>
      <w:r>
        <w:t>AC/2125/2018 PAR CES MOTIFS, LE VICE-PRÉSIDENT DE LA COUR : A la forme : Déclare recevable le recours formé le 13 mai 2019 par A______ contre la décision rendue le</w:t>
      </w:r>
    </w:p>
    <w:p>
      <w:r>
        <w:rPr>
          <w:b/>
        </w:rPr>
        <w:t>E. 6</w:t>
      </w:r>
    </w:p>
    <w:p>
      <w:r>
        <w:t>avril 2010 consid. 8.3, C-7450/2006 du 5 mars 2010 consid. 5.5.3 et C-8650/2007 du 5 mars 2010 consid. 8.3.4.3). Le cas échéant, ces critères ne peuvent en effet être pris en considération que dans le cadre de l'examen de la licéité et de l'exigibilité de l'exécution du renvoi (arrêts du TAF F.4125/2016 du 26 juillet 2017 consid. 5.4.1; C-2712/2012 précité consid. 5.7; C-3216/2010 précité consid. 3.6; C-5710/2011 précité consid. 5.1; ATA/801/2018 précité consid. 8b).</w:t>
      </w:r>
    </w:p>
    <w:p>
      <w:r>
        <w:rPr>
          <w:b/>
        </w:rPr>
        <w:t>E. 8</w:t>
      </w:r>
    </w:p>
    <w:p>
      <w:r>
        <w:t>avril 2019 par le Vice-président du Tribunal civil dans la cause AC/2125/2018.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