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DAAJ/8/2014 vom 27. November 2013</w:t>
      </w:r>
    </w:p>
    <w:p>
      <w:r>
        <w:t>GE Cour de justice, 2013-11-27, FR</w:t>
      </w:r>
    </w:p>
    <w:p>
      <w:r>
        <w:rPr>
          <w:b/>
        </w:rPr>
        <w:t xml:space="preserve">Quelle: </w:t>
      </w:r>
      <w:r>
        <w:t>https://mcp.opencaselaw.ch/entscheid/ge_gerichte_DAAJ_8_2014</w:t>
      </w:r>
    </w:p>
    <w:p>
      <w:r>
        <w:t>FR: GE_GERICHTE DAAJ/8/2014 du 27 novembre 2013</w:t>
      </w:r>
    </w:p>
    <w:p>
      <w:r>
        <w:t>IT: GE_GERICHTE DAAJ/8/2014 del 27 novembre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la pièce nouvelle produite par la recourant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w:t>
      </w:r>
    </w:p>
    <w:p>
      <w:r>
        <w:t>- 6/8 -</w:t>
      </w:r>
    </w:p>
    <w:p>
      <w:r>
        <w:t>AC/2852/2007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En l'espèce, il n'est pas contesté que le risque lié à l'anesthésie qui s'est réalisé durant l'opération de transplantation était largement en-deçà du seuil de 1%, en dessous duquel on retient en principe une obligation d'informer le patient, et que ce risque ne s'était jamais réalisé aux HUG auparavant. Le recourant ne saurait être suivi lorsqu'il reproche aux autorités de première instance d'avoir circonscrit l'objet du litige au seul risque réalisé et d'avoir occulté la question d'un devoir d'information sur un risque général d'atteinte neurologique. En effet, si lesdites autorités ont tout d'abord relevé la masse d'informations données à l'époque aux parents du recourant et la nécessité, pour les médecins, de concentrer leur discours sur les risques les plus importants et fréquents, elles ont également retenu que, d'une manière générale, quiconque était informé du risque d'issue mortelle d'une opération ou d'une évolution postopératoire devait aussi prévoir qu'il puisse exister des degrés intermédiaires ou des manifestations diverses de lésions d'organes, en particulier s'agissant d'une lourde opération telle qu'une transplantation d'organe sur un nouveau- né. Les enquêtes n'ont pas permis d'établir que les parents du recourant - qui avaient déjà été amenés à devoir prendre une telle décision pour leur premier enfant et qui ont reconnu s'être informés sur internet - n'avaient pas pris la mesure des risques de lésions corporelles pouvant résulter d'une intervention d'une telle importance ou encore que ces risques auraient pu les amener à refuser leur consentement à l'opération et qu'ils devaient, partant, recevoir une information spécifique sur ce sujet.</w:t>
      </w:r>
    </w:p>
    <w:p>
      <w:r>
        <w:t>De même, il ne saurait être retenu, comme le recourant le soutient, que la motivation subsidiaire des autorités de première instance est insoutenable. Il n'est en effet pas crédible de soutenir que les parents de l'enfant, qui avaient accepté l'idée de la transplantation du recourant, contrairement à ce qu'ils avaient fait quelques années auparavant avec leur premier enfant, auraient finalement refusé l'opération pour le seul motif qu'il existait un risque d'atteinte neurologique grave, ce d'autant plus que tant le</w:t>
      </w:r>
    </w:p>
    <w:p>
      <w:r>
        <w:t>- 7/8 -</w:t>
      </w:r>
    </w:p>
    <w:p>
      <w:r>
        <w:t>AC/2852/2007 recourant que sa mère avait subi plusieurs anesthésies générales auparavant, qui s'étaient déroulées sans problèmes particuliers. A cela s'ajoute que les parents avaient, compte tenu de leur contexte familial, accepté le risque d'avoir un enfant affecté d'anomalies génétiques à chaque fois qu'ils avaient décidé d'avoir un enfant après le décès de leur aîné, puisqu'ils savaient que de telles anomalies n'étant pas nécessairement décelables avant la naissance, malgré un suivi médical pointu. Les chances de succès du recours doivent, au vu de ce qui précède, être qualifiées d'extrêmement faibles. Partant, le recours, infondé, sera rejeté.</w:t>
      </w:r>
    </w:p>
    <w:p>
      <w:r>
        <w:rPr>
          <w:b/>
        </w:rPr>
        <w:t>E. 4</w:t>
      </w:r>
    </w:p>
    <w:p>
      <w:r>
        <w:t>Sauf exceptions non réalisées en l'espèce, il n'est pas perçu de frais judiciaires pour la procédure d'assistance juridique (art. 119 al. 6 CPC). * * * * *</w:t>
      </w:r>
    </w:p>
    <w:p>
      <w:r>
        <w:t>- 8/8 -</w:t>
      </w:r>
    </w:p>
    <w:p>
      <w:r>
        <w:t>AC/2852/2007 PAR CES MOTIFS, LA VICE-PRÉSIDENTE DE LA COUR : À la forme : Déclare recevable le recours formé par A______ contre la décision rendue le 27 novembre 2013 par la Vice-présidente du Tribunal civil dans la cause AC/2852/2007. Au fond : Le rejette. Déboute A______ de toutes autres conclusions. Dit qu'il n'est pas perçu de frais judiciaires. Notifie une copie de la présente décision à A______ en l'Étude de Me Patrick Blaser (art. 137 CPC). Siégeant : Madame Marguerite JACOT-DES-COMBES, vice-présidente;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