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DAAJ/89/2014 vom 4. September 2014</w:t>
      </w:r>
    </w:p>
    <w:p>
      <w:r>
        <w:t>GE Cour de justice, 2014-09-04, FR</w:t>
      </w:r>
    </w:p>
    <w:p>
      <w:r>
        <w:rPr>
          <w:b/>
        </w:rPr>
        <w:t xml:space="preserve">Quelle: </w:t>
      </w:r>
      <w:r>
        <w:t>https://mcp.opencaselaw.ch/entscheid/ge_gerichte_DAAJ_89_2014</w:t>
      </w:r>
    </w:p>
    <w:p>
      <w:r>
        <w:t>FR: GE_GERICHTE DAAJ/89/2014 du 4 septembre 2014</w:t>
      </w:r>
    </w:p>
    <w:p>
      <w:r>
        <w:t>IT: GE_GERICHTE DAAJ/89/2014 del 4 settembre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- 4/7 -</w:t>
      </w:r>
    </w:p>
    <w:p>
      <w:r>
        <w:t>AC/1456/2014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w:t>
      </w:r>
    </w:p>
    <w:p>
      <w:r>
        <w:t>- 5/7 -</w:t>
      </w:r>
    </w:p>
    <w:p>
      <w:r>
        <w:t>AC/1456/2014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w:t>
      </w:r>
    </w:p>
    <w:p>
      <w:r>
        <w:rPr>
          <w:b/>
        </w:rPr>
        <w:t>E. 2.3</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t>- 6/7 -</w:t>
      </w:r>
    </w:p>
    <w:p>
      <w:r>
        <w:t>AC/1456/2014</w:t>
      </w:r>
    </w:p>
    <w:p>
      <w:r>
        <w:rPr>
          <w:b/>
        </w:rPr>
        <w:t>E. 2.4</w:t>
      </w:r>
    </w:p>
    <w:p>
      <w:r>
        <w:t>En l'espèce, la nécessité d'être représenté par un avocat pour la procédure envisagée peut demeurer indécise, dans la mesure où le bénéfice de l'assistance juridique doit de toute manière être refusé au recourant, sa cause paraissant dénuée de chances de succès pour les motifs qui suivent. Dans sa lettre de contestation de la résiliation immédiate, le recourant ne nie pas avoir consommé de l'alcool pendant ses heures de travail. Dans un courrier adressé au greffe de l'Assistance juridique, il a d'ailleurs admis ce fait, contestant toutefois qu'il s'agisse d'une faute grave. Même si le fait d'avoir consommé de l'alcool sur le lieu de travail et pendant les heures de travail ne saurait en soi justifier un licenciement immédiat, le fait que ledit licenciement immédiat ait été précédé de plusieurs avertissements (un avertissement oral par la gérante de l'établissement et deux avertissements écrits les 6 et 14 juin 2012) sur les conséquences d'un tel comportement paraît a priori justifier la rupture immédiate des rapports de travail. Il s'ensuit que, prima facie, les prétentions que le recourant entend formuler dans le cadre de son action prud'homale semblent vouées à l'échec. Compte tenu de ce qui précède, c'est à bon droit que le premier juge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- 7/7 -</w:t>
      </w:r>
    </w:p>
    <w:p>
      <w:r>
        <w:t>AC/1456/2014 PAR CES MOTIFS, LE VICE-PRÉSIDENT DE LA COUR : A la forme : Déclare recevable le recours formé par A______ contre la décision rendue le 4 septembre 2014 par le Vice-président du Tribunal civil dans la cause AC/1456/2014. Au fond : Le rejette. Déboute A______ de toutes autres conclusions. Dit qu'il n'est pas perçu de frais judiciaires pour le recours. Notifie une copie de la présente décision à A______ en l'Étude de Me Pierre GABUS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