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DAAJ/87/2022 vom 26. Juli 2022</w:t>
      </w:r>
    </w:p>
    <w:p>
      <w:r>
        <w:t>GE Cour de justice, 2022-07-26, FR</w:t>
      </w:r>
    </w:p>
    <w:p>
      <w:r>
        <w:rPr>
          <w:b/>
        </w:rPr>
        <w:t xml:space="preserve">Quelle: </w:t>
      </w:r>
      <w:r>
        <w:t>https://mcp.opencaselaw.ch/entscheid/ge_gerichte_DAAJ_87_2022</w:t>
      </w:r>
    </w:p>
    <w:p>
      <w:r>
        <w:t>FR: GE_GERICHTE DAAJ/87/2022 du 26 juillet 2022</w:t>
      </w:r>
    </w:p>
    <w:p>
      <w:r>
        <w:t>IT: GE_GERICHTE DAAJ/87/2022 del 26 luglio 2022</w:t>
      </w:r>
    </w:p>
    <w:p>
      <w:pPr>
        <w:pStyle w:val="Heading2"/>
      </w:pPr>
      <w:r>
        <w:t>Erwägungen</w:t>
      </w:r>
    </w:p>
    <w:p>
      <w:r>
        <w:rPr>
          <w:b/>
        </w:rPr>
        <w:t>E. 1.1</w:t>
      </w:r>
    </w:p>
    <w:p>
      <w:r>
        <w:t>La décision entreprise est sujette à recours auprès de la présidente de la Cour de justice en tant qu'elle refuse l'assistance juridique (art. 10 al. 3 LPA). Le recours, écrit et motivé, est introduit auprès de l'instance de recours dans un délai de 30 jours (art. 10 al. 3 LPA, 130, 131 et 321 al. 1 CPC, applicables par renvoi des art. 10 al. 4 LPA et 8 al. 3 RAJ; arrêt du Tribunal fédéral 1B_171/2011 du 15 juin 2011 consid. 2.2).</w:t>
      </w:r>
    </w:p>
    <w:p>
      <w:r>
        <w:t>- 4/7 -</w:t>
      </w:r>
    </w:p>
    <w:p>
      <w:r>
        <w:t>AC/1948/2022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1.4</w:t>
      </w:r>
    </w:p>
    <w:p>
      <w:r>
        <w:t>Il n'y a pas lieu d'entendre la recourante, celle-ci ne le sollicitant pas et le dossier contenant suffisamment d'éléments pour statuer (art. 10 al. 3 LPA; arrêt du Tribunal fédéral 2D_73/2015 du 30 juin 2016 consid. 4.2).</w:t>
      </w:r>
    </w:p>
    <w:p>
      <w:r>
        <w:rPr>
          <w:b/>
        </w:rPr>
        <w:t>E. 2.1.1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t>- 5/7 -</w:t>
      </w:r>
    </w:p>
    <w:p>
      <w:r>
        <w:t>AC/1948/2022</w:t>
      </w:r>
    </w:p>
    <w:p>
      <w:r>
        <w:rPr>
          <w:b/>
        </w:rPr>
        <w:t>E. 2.1.2.1</w:t>
      </w:r>
    </w:p>
    <w:p>
      <w:r>
        <w:t>Selon l'art. 64 al. 2 LPA, le recours adressé à une autorité incompétente est transmis d'office à la juridiction administrative compétente et le recourant en est averti. L'acte est réputé déposé à la date à laquelle il a été adressé à la première autorité. D'après l'art. 65 LPA, l'acte de recours contient, sous peine d'irrecevabilité, la désignation de la décision attaquée et les conclusions du recourant (al. 1). Il contient également l'exposé des motifs ainsi que l'indication des moyens de preuve (al. 2). Compte tenu du caractère peu formaliste de cette disposition, la jurisprudence fait preuve d'une certaine souplesse s'agissant de la manière dont sont formulées les conclusions du recourant. Le fait qu'elles ne ressortent pas expressément de l'acte de recours n'est, en soi, pas un motif d'irrecevabilité, pour autant que l'autorité judiciaire et la partie adverse puissent comprendre avec certitude les fins du recourant (ATA/850/2022 du 23 août 2022 consid. 2a). A lui seul, l'intitulé erroné d'un recours ne nuit pas à son auteur, pour autant que les conditions d'une conversion en la voie de droit adéquate soient réunies (ATF 134 III 379 consid. 1.2; arrêt du Tribunal fédéral 2D_58/2019 du 28 octobre 2019 consid. 3; cf. également, en matière administrative, décision ATA/840/2019 du 30 avril 2019 dans laquelle un acte intitulé "demande de reconsidération" a été traité comme un recours).</w:t>
      </w:r>
    </w:p>
    <w:p>
      <w:r>
        <w:rPr>
          <w:b/>
        </w:rPr>
        <w:t>E. 2.1.2.2</w:t>
      </w:r>
    </w:p>
    <w:p>
      <w:r>
        <w:t>Selon l'art. 36A al. 1 LPCC, ont droit aux prestations complémentaires familiales les personnes qui, cumulativement: ont leur domicile et leur résidence habituelle sur le territoire de la République et canton de Genève depuis cinq ans au moins au moment du dépôt de la demande de prestations (let. a); vivent en ménage commun avec des enfants de moins de 18 ans, respectivement 25 ans si l'enfant poursuit une formation donnant droit à une allocation de formation professionnelle (let. b); exercent une activité lucrative salariée (let. c); ne font pas l'objet d'une taxation d'office par l'administration fiscale cantonale, le Conseil d'État définissant les exceptions (let. d); répondent aux autres conditions prévues par la loi (let. e). Aux termes de l'art. 36A al. 4 LPCC pour bénéficier des prestations susmentionnées, le taux de l'activité lucrative mentionnée à l'art. 36A al. 1 let. c, doit être, par année, au minimum de 40 % lorsque le groupe familial comprend une personne adulte (al. 4 let. a). Selon l'art. 11 du règlement relatif aux prestations complémentaires familiales (RPCFam - J 4 25.04), le taux d'activité lucrative déterminant, exigé par l'art. 36A al. 4 de la loi, est calculé sur une base de 40 heures de travail par semaine (al. 1). Pour un contrat de travail de durée indéterminée, le taux d'activité en vigueur au moment du dépôt de la demande de prestations est déterminant (al. 2). Pour un contrat de travail de durée déterminée, lorsque les taux d'activité lucrative prévus à l'art. 36A al. 4 de la loi ne sont pas réalisés au moment du dépôt de la demande, le taux d'activité annualisé réalisé au cours des 6 mois qui précèdent la demande de prestations est pris en compte</w:t>
      </w:r>
    </w:p>
    <w:p>
      <w:r>
        <w:t>- 6/7 -</w:t>
      </w:r>
    </w:p>
    <w:p>
      <w:r>
        <w:t>AC/1948/2022 (al. 3). Le taux d'activité déterminé en vertu de l'al. 3 est valable jusqu'à l'échéance fixée dans le contrat de travail en vigueur au moment du dépôt de la demande. Dès l'entrée en vigueur d'un nouveau contrat de travail de durée déterminée, le taux est recalculé en application de l'al. 3 ». Les heures supplémentaires effectuées sont prises en compte dans la détermination du taux d'activité réalisé en vue d'examiner si le seuil légal de 40% permettant l’octroi de prestations familiales est atteint (cf. notamment ATAS/534/2017 du 26 juin 2017 consid. 9).</w:t>
      </w:r>
    </w:p>
    <w:p>
      <w:r>
        <w:rPr>
          <w:b/>
        </w:rPr>
        <w:t>E. 2.2</w:t>
      </w:r>
    </w:p>
    <w:p>
      <w:r>
        <w:t>En l'espèce, le courrier de la recourante du 8 avril 2022 – parvenu au SPC dans le délai de recours de 30 jours et finalement transmis à la Chambre des assurances sociales, pour raison de compétence, le 10 juin 2022 – désigne la décision sur opposition du SPC du 18 mars 2022 et contient les griefs dirigés à l'encontre de ladite décision au sujet du taux d'activité retenu. Au regard du caractère peu formaliste des règles de procédure applicables, il ne paraît a priori pas improbable que la Chambre des assurances sociales traite ce courrier – rédigé par une justiciable alors non représentée par un avocat – comme un recours, bien qu'il soit intitulé "demande de remise". Par ailleurs, au vu de la jurisprudence rappelée ci-dessus, la recourante fait à juste titre valoir que son temps de travail doit être annualisé en tenant compte des heures supplémentaires effectuées, afin de déterminer si elle a atteint le taux d'activité minimal de 40% requis par la loi pour pouvoir bénéficier des prestations complémentaires. Dans la mesure où le certificat de salaire 2021 de la recourante indique (contrairement à l'attestation établie précédemment par l'employeur) que le taux d'occupation de l'intéressée était de 40% durant l'année en question, le recours formé contre la décision du SPC du 18 mars 2022 ne paraît, à première vue, pas dépourvu de toute chance de succès. Partant, la décision présentement querellée sera annulée et la cause renvoyée à l'autorité de première instance pour examen de la condition d'indigence et nouvelle décision.</w:t>
      </w:r>
    </w:p>
    <w:p>
      <w:r>
        <w:rPr>
          <w:b/>
        </w:rPr>
        <w:t>E. 3</w:t>
      </w:r>
    </w:p>
    <w:p>
      <w:r>
        <w:t>Sauf exceptions non réalisées en l'espèce, il n'est pas perçu de frais judiciaires pour la procédure d'assistance juridique (art. 119 al. 6 CPC). La recourante n’ayant pas conclu à l’octroi de dépens (cf. pour le CPC : ATF 139 III 334 consid. 4.3; pour la LPA : art. 87 al. 2 LPA), aucune indemnité ne sera octroyée à ce titre. * * * * *</w:t>
      </w:r>
    </w:p>
    <w:p>
      <w:r>
        <w:t>- 7/7 -</w:t>
      </w:r>
    </w:p>
    <w:p>
      <w:r>
        <w:t>AC/1948/2022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