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DAAJ/87/2020 vom 30. Juli 2020</w:t>
      </w:r>
    </w:p>
    <w:p>
      <w:r>
        <w:t>GE Cour de justice, 2020-07-30, FR</w:t>
      </w:r>
    </w:p>
    <w:p>
      <w:r>
        <w:rPr>
          <w:b/>
        </w:rPr>
        <w:t xml:space="preserve">Quelle: </w:t>
      </w:r>
      <w:r>
        <w:t>https://mcp.opencaselaw.ch/entscheid/ge_gerichte_DAAJ_87_2020</w:t>
      </w:r>
    </w:p>
    <w:p>
      <w:r>
        <w:t>FR: GE_GERICHTE DAAJ/87/2020 du 30 juillet 2020</w:t>
      </w:r>
    </w:p>
    <w:p>
      <w:r>
        <w:t>IT: GE_GERICHTE DAAJ/87/2020 del 30 luglio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- 4/6 -</w:t>
      </w:r>
    </w:p>
    <w:p>
      <w:r>
        <w:t>AC/1024/2017</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5A_396/2013 du 26 février 2014 consid. 5.3.1). L'appel tend en effet au contrôle de la décision du premier juge eu égard aux griefs formulés, et non à ce que l'instance d'appel procède à un examen propre, de fond en comble, des questions juridiques qui se posent, comme si aucun jugement n'avait encore été prononcé (arrêts du Tribunal fédéral 5A_573/2017 du 19 octobre 2017 consid. 3.1; 4A_651/2012 du 7 février 2013 consid. 4.3). La motivation est une condition de recevabilité qui doit être examinée d'office. Si elle fait défaut, la juridiction d'appel n'entre pas en matière (arrêts du Tribunal fédéral 5A_503/2018 du 25 septembre 2018 consid. 6.3 ; 5A_206/2016 du 1er juin 2016 consid. 4.2.2).</w:t>
      </w:r>
    </w:p>
    <w:p>
      <w:r>
        <w:rPr>
          <w:b/>
        </w:rPr>
        <w:t>E. 1.3</w:t>
      </w:r>
    </w:p>
    <w:p>
      <w:r>
        <w:t>En l'espèce, le recours a été interjeté dans le délai utile et en la forme écrite prescrite par la loi. Il ne respecte toutefois pas les conditions de motivation imposées par la loi en tant qu'il porte sur la question des frais judiciaires. En effet, l'acte de recours ne contient aucune critique de la décision de l'autorité de première instance sur ce point, de sorte qu'il ne permet pas de comprendre en quoi la Vice-présidente du Tribunal de première instance aurait erré en retenant que le TPI était en droit, dans le cadre de son ordonnance du 3 juillet 2020, de condamner la recourante au paiement de frais judiciaires en 200 fr., de sorte que son recours à l'encontre de cette décision était dénué de chances de succès. Il ne sera, partant, pas entré en matière sur cette conclusion. Pour le reste, le recours respecte les conditions de motivation, de sorte qu'il est recevable. Il doit toutefois être rejeté pour les motifs qui suivent.</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w:t>
      </w:r>
    </w:p>
    <w:p>
      <w:r>
        <w:t>- 5/6 -</w:t>
      </w:r>
    </w:p>
    <w:p>
      <w:r>
        <w:t>AC/1024/2017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w:t>
      </w:r>
    </w:p>
    <w:p>
      <w:r>
        <w:rPr>
          <w:b/>
        </w:rPr>
        <w:t>E. 2.2</w:t>
      </w:r>
    </w:p>
    <w:p>
      <w:r>
        <w:t>Les mesures superprovisionnelles ne sont pas susceptibles de recours, ni auprès de l'autorité cantonale supérieure lorsqu'elles émanent d'une autorité inférieure, ni auprès du Tribunal fédéral. Il n'y est pas fait d'exception pour une décision refusant un prononcé superprovisonnel (ATF 137 III 417 consid. 1.2 à 1.4; arrêt du Tribunal fédéral 5A_253/2017 du 4 avril 2017 consid. 2).</w:t>
      </w:r>
    </w:p>
    <w:p>
      <w:r>
        <w:rPr>
          <w:b/>
        </w:rPr>
        <w:t>E. 2.3</w:t>
      </w:r>
    </w:p>
    <w:p>
      <w:r>
        <w:t>En l'espèce, c'est à bon droit, au regard de la jurisprudence rappelée ci-avant, que l'autorité de première instance a considéré que l'appel interjeté par la recourante à l'encontre de l'ordonnance de mesures superprovisionnelles rendue le 3 juillet 2020 par le TPI était voué à l'échec, dès lors que le Code de procédure civile ne prévoit aucune voie de droit contre les jugements cantonaux de première instance portant sur des mesures superprovisionnelles, y compris en cas de refus de prononcé desdites mesures. Partant, le présent recours, infondé, sera rejeté.</w:t>
      </w:r>
    </w:p>
    <w:p>
      <w:r>
        <w:rPr>
          <w:b/>
        </w:rPr>
        <w:t>E. 3</w:t>
      </w:r>
    </w:p>
    <w:p>
      <w:r>
        <w:t>Sauf exceptions non réalisées en l'espèce, il n'est pas perçu de frais judiciaires pour la procédure d'assistance juridique (art. 119 al. 6 CPC). * * * * *</w:t>
      </w:r>
    </w:p>
    <w:p>
      <w:r>
        <w:t>- 6/6 -</w:t>
      </w:r>
    </w:p>
    <w:p>
      <w:r>
        <w:t>AC/1024/2017 PAR CES MOTIFS, LE VICE-PRÉSIDENT DE LA COUR : A la forme : Déclare recevable le recours formé le 10 août 2020 par A______ contre la décision rendue le 30 juillet 2020 par la Vice-présidente du Tribunal de première instance dans la cause AC/1024/2017.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