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DAAJ/87/2015 vom 12. August 2015</w:t>
      </w:r>
    </w:p>
    <w:p>
      <w:r>
        <w:t>GE Cour de justice, 2015-08-12, FR</w:t>
      </w:r>
    </w:p>
    <w:p>
      <w:r>
        <w:rPr>
          <w:b/>
        </w:rPr>
        <w:t xml:space="preserve">Quelle: </w:t>
      </w:r>
      <w:r>
        <w:t>https://mcp.opencaselaw.ch/entscheid/ge_gerichte_DAAJ_87_2015</w:t>
      </w:r>
    </w:p>
    <w:p>
      <w:r>
        <w:t>FR: GE_GERICHTE DAAJ/87/2015 du 12 août 2015</w:t>
      </w:r>
    </w:p>
    <w:p>
      <w:r>
        <w:t>IT: GE_GERICHTE DAAJ/87/2015 del 12 agosto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w:t>
      </w:r>
    </w:p>
    <w:p>
      <w:r>
        <w:t>- 6/8 -</w:t>
      </w:r>
    </w:p>
    <w:p>
      <w:r>
        <w:t>AC/2137/2010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La récusation de l'expert ne s'examine pas au regard de l'art. 30 al. 1 Cst. - car l'expert ne fait pas partie du tribunal - mais sous l'angle de l'art. 29 al. 1 Cst. garantissant l'équité du procès (ATF 125 II 541 consid. 4a et les arrêts cités). S'agissant des exigences d'impartialité et d'indépendance, l'art. 29 al. 1 Cst. assure au justiciable une protection équivalente à celle de l'art. 30 al. 1 Cst. (ATF 127 I 196 consid. 2b). Selon l'art. 91 let. e aLOJ, applicable aux experts par renvoi de l'art. 258 al. 1 aLPC, tout juge est récusable s'il a manifesté son avis avant le temps d'émettre son opinion pour le jugement. D'après la jurisprudence, cette disposition n'offre pas de garanties procédurales plus étendues que l'art. 29 al. 1 Cst. (arrêt du Tribunal fédéral 5A_431/2008 du 17 octobre 2008 consid. 4.1). C'est dès lors à la lumière des principes déduits de l'art. 29 al. 1 Cst. qu'il convient d'examiner les chances de succès de la cause de la recourante.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134 I 20 consid. 4.2 p. 21 et les arrêts cités; arrêt du Tribunal fédéral 8C_1058/2010 du 1er juin 2011 consid. 4.2). Il faut donc que le doute sur l'impartialité du juge – ou en l'occurrence de l'expert – soit objectivement fondé (JdT 1992 I 116 consid. 2b). L'interdiction de préjuger s'explique par la gêne dans laquelle se trouverait le juge – respectivement l'expert – qui aurait émis un avis sans avoir examiné le problème et qui, après s'être entouré des renseignements nécessaires, devrait opiner en sens contraire. Or,</w:t>
      </w:r>
    </w:p>
    <w:p>
      <w:r>
        <w:t>- 7/8 -</w:t>
      </w:r>
    </w:p>
    <w:p>
      <w:r>
        <w:t>AC/2137/2010 cette gêne pourrait aller jusqu'à l'empêcher de statuer comme il le voudrait "en son âme et conscience", pour n'avoir pas à se contredire et à se déjuger. Ainsi, un avis émis prématurément pourrait compromettre l'indépendance et l'impartialité du juge, dans la mesure où ce dernier se sentirait lié par l'opinion préalablement exprimée (SJ 1979 p. 337).</w:t>
      </w:r>
    </w:p>
    <w:p>
      <w:r>
        <w:rPr>
          <w:b/>
        </w:rPr>
        <w:t>E. 2.3</w:t>
      </w:r>
    </w:p>
    <w:p>
      <w:r>
        <w:t>En l'espèce, il n'existe prima facie pas de circonstances objectives suffisantes pour retenir que l'expert aurait manifesté son parti pris pour l'une ou l'autre des parties. La seule circonstance que l'expert ait transmis aux parties une version visée "provisoire" de son rapport en vue de tenter de les concilier, conformément à la mission qui lui a été confiée par le juge, n'autorise pas en soi à croire que ledit expert est incapable d'agir avec la neutralité voulue. La tâche principale de l'expert consistait à se prononcer sur les immissions (notamment perte d'ensoleillement, humidité due à la présence d'un mur mitoyen) alléguées par la recourante. L'expert a donc procédé à des constatations sur ces points et a conclu que la maison de la voisine de la recourante n'occasionnait pas une gêne supplémentaire par rapport à la gêne "normale" due à une construction édifiée en limite de propriété. Quand bien même la rédaction du rapport provisoire était susceptible d'évoluer en fonction des éventuelles discussions entre les parties et l'expert, cela ne signifie pas pour autant que l'expert aurait modifié, à l'issue de l'éventuelle tentative de conciliation, ses conclusions relatives aux immissions alléguées. En effet, l'on ne se trouve pas, à première vue, dans une situation où l'expert se serait prononcé de manière prématurée, sans avoir procédé aux constats requis et sans s'être entouré des renseignements nécessaires. Il semblerait donc que le rapport aurait uniquement pu être modifié afin de tenir compte des résultats de la tentative de conciliation. Compte tenu de ce qui précède, le refus de récuser l'expert judiciaire semble a priori fondé. Par conséquent, un recours contre cette décision paraît dépourvu de chances de succès. C'est donc à bon droit que le Vice-président a refusé d'octroyer l'extension de l'assistance juridique requise par la recourante. Partant, le recours, infondé, sera rejeté.</w:t>
      </w:r>
    </w:p>
    <w:p>
      <w:r>
        <w:rPr>
          <w:b/>
        </w:rPr>
        <w:t>E. 3</w:t>
      </w:r>
    </w:p>
    <w:p>
      <w:r>
        <w:t>Sauf exceptions non réalisées en l'espèce, il n'est pas perçu de frais judiciaires pour la procédure d'assistance juridique (art. 119 al. 6 CPC). * * * * *</w:t>
      </w:r>
    </w:p>
    <w:p>
      <w:r>
        <w:t>- 8/8 -</w:t>
      </w:r>
    </w:p>
    <w:p>
      <w:r>
        <w:t>AC/2137/2010 PAR CES MOTIFS, LE VICE-PRÉSIDENT DE LA COUR : A la forme : Déclare recevable le recours formé par A______ contre la décision rendue le 12 août 2015 par le Vice-président du Tribunal civil dans la cause AC/2137/2010. Au fond : Le rejette. Déboute A______ de toutes autres conclusions. Dit qu'il n'est pas perçu de frais judiciaires pour le recours. Notifie une copie de la présente décision à A______ en l'Étude de Me Cristobal ORJALES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