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DAAJ/85/2021 vom 23. März 2021</w:t>
      </w:r>
    </w:p>
    <w:p>
      <w:r>
        <w:t>GE Cour de justice, 2021-03-23, FR</w:t>
      </w:r>
    </w:p>
    <w:p>
      <w:r>
        <w:rPr>
          <w:b/>
        </w:rPr>
        <w:t xml:space="preserve">Quelle: </w:t>
      </w:r>
      <w:r>
        <w:t>https://mcp.opencaselaw.ch/entscheid/ge_gerichte_DAAJ_85_2021</w:t>
      </w:r>
    </w:p>
    <w:p>
      <w:r>
        <w:t>FR: GE_GERICHTE DAAJ/85/2021 du 23 mars 2021</w:t>
      </w:r>
    </w:p>
    <w:p>
      <w:r>
        <w:t>IT: GE_GERICHTE DAAJ/85/2021 del 23 marzo 2021</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par la recourante ne sera pas prise en considération. Elle n'est en tout état pas pertinente pour l'issue du litige, tel que cela sera examiné ci-après.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w:t>
      </w:r>
    </w:p>
    <w:p>
      <w:r>
        <w:t>- 4/6 -</w:t>
      </w:r>
    </w:p>
    <w:p>
      <w:r>
        <w:t>AC/656/2021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procédure de mainlevée définitive, comme la procédure de mainlevée provisoire, est une procédure sur pièces (ATF 136 III 583 consid. 2.3 et 132 III 140 consid. 4.1.1). Selon l'art. 80 LP, le créancier qui est au bénéfice d'un jugement exécutoire peut requérir du juge la mainlevée définitive de l'opposition (al. 1). En vertu de l'art. 81 al. 1 LP,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L'extinction, le sursis, et la prescription ne peuvent être invoqués dans la procédure de mainlevée définitive que s'ils sont postérieurs au jugement. Le juge de la mainlevée n'a pas à examiner les moyens de droit matériel que le débiteur pouvait faire valoir dans le procès qui a abouti au jugement exécutoire car cela reviendrait à examiner matériellement l'obligation de payer (ATF 138 III 583 consid. 6.1.2; arrêt du Tribunal fédéral 5D_13/2016 du 18 mai 2016 consid. 2.3.1, publié in SJ 2016 I p. 487; ABBEY/VEUILLET, La mainlevée de l'opposition, 2017, n. 4 ad art. 81 LP). Dans la procédure de mainlevée définitive, les moyens de défense du débiteur sont fortement limités (art. 81 LP); un titre à la mainlevée définitive ne peut être remis en cause qu'au moyen de pièces totalement univoques (ATF 140 III 372 consid. 3.1). De jurisprudence constante, il incombe au poursuivi d'établir par titre, non seulement la cause de l'extinction, mais encore le montant exact à concurrence duquel la dette en poursuite est éteinte (ATF 124 III 501 consid. 3b in fine; arrêts du Tribunal fédéral</w:t>
      </w:r>
    </w:p>
    <w:p>
      <w:r>
        <w:t>- 5/6 -</w:t>
      </w:r>
    </w:p>
    <w:p>
      <w:r>
        <w:t>AC/656/2021 5A_720/2019 du 23 mars 2020 consid. 3.3.2; 5D_43/2019 du 24 mai 2019 consid. 5.2.1). Il ne peut se contenter de rendre vraisemblable sa libération (totale ou partielle) - contrairement à ce qui est le cas pour la mainlevée provisoire (art. 82 al. 2 LP; ATF 120 Ia 82 consid. 6c) -, mais doit en apporter la preuve stricte (ATF 136 III 624 consid. 4.2.1 et les références).</w:t>
      </w:r>
    </w:p>
    <w:p>
      <w:r>
        <w:rPr>
          <w:b/>
        </w:rPr>
        <w:t>E. 3.3</w:t>
      </w:r>
    </w:p>
    <w:p>
      <w:r>
        <w:t>En l'espèce, c'est à bon droit que la Vice-Présidente du Tribunal civil a considéré que les chances de succès de la recourante de s'opposer aux huit requêtes de mainlevée définitives étaient nulles. En effet, la recourante ne conteste pas en tant que tels les montants requis en poursuite. Son allégation toute générale selon laquelle sa dette ne pourrait pas augmenter, "vu l'absence de voiture", ne repose sur aucun élément tangible et n'est pas compréhensible. La recourante ne soutient par ailleurs pas que les montants requis en poursuites seraient équivoques. Le refus du Service des contraventions d'accepter un nouvel échéancier de paiement est exhorbitant à la procédure de mainlevée définitive. Comme rappelé ci-avant, seuls l'extinction, le sursis, et la prescription peuvent être invoqués dans ce cadre et pour autant qu'ils soient postérieurs au jugement. La recourante ne peut de plus tirer aucun droit de l'art. 6 CEDH, puisque le champ d'application de cette disposition ne s'étend pas à la procédure incidente relative à l'assistance judiciaire (cf. arrêt du Tribunal fédéral 4A_39/2014 du 27 mai 2014 consid. 6). Quoi qu'il en soit, le refus du Service susmentionné d'accepter un nouvel arrangement de paiement ne concerne pas les garanties procédurales prévues par l'art. 6 CEDH. Enfin, la Cour ne discerne pas en quoi ledit refus contreviendrait à l'interdiction de l'abus de droit prévu par l'art. 17 CEDH. L'allégation de la recourante selon laquelle "il n'y avait pas de raison logique de refuser une mensualité de 50CHF" ne modifie pas cette appréciation.</w:t>
      </w:r>
    </w:p>
    <w:p>
      <w:r>
        <w:rPr>
          <w:b/>
        </w:rPr>
        <w:t>E. 3.4</w:t>
      </w:r>
    </w:p>
    <w:p>
      <w:r>
        <w:t>Partant, le recours, infondé, sera rejeté.</w:t>
      </w:r>
    </w:p>
    <w:p>
      <w:r>
        <w:rPr>
          <w:b/>
        </w:rPr>
        <w:t>E. 4</w:t>
      </w:r>
    </w:p>
    <w:p>
      <w:r>
        <w:t>Sauf exceptions non réalisées en l'espèce, il n'est pas perçu de frais judiciaires pour la procédure d'assistance juridique (art. 119 al. 6 CPC). * * * * *</w:t>
      </w:r>
    </w:p>
    <w:p>
      <w:r>
        <w:t>- 6/6 -</w:t>
      </w:r>
    </w:p>
    <w:p>
      <w:r>
        <w:t>AC/656/2021 PAR CES MOTIFS, LE VICE-PRÉSIDENT DE LA COUR : A la forme : Déclare recevable le recours formé le 12 avril 2021 par A______ contre la décision rendue le 23 mars 2021 par la Vice-présidente du Tribunal de première instance dans la cause AC/656/2021.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