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DAAJ/85/2017 vom 23. Mai 2017</w:t>
      </w:r>
    </w:p>
    <w:p>
      <w:r>
        <w:t>GE Cour de justice, 2017-05-23, FR</w:t>
      </w:r>
    </w:p>
    <w:p>
      <w:r>
        <w:rPr>
          <w:b/>
        </w:rPr>
        <w:t xml:space="preserve">Quelle: </w:t>
      </w:r>
      <w:r>
        <w:t>https://mcp.opencaselaw.ch/entscheid/ge_gerichte_DAAJ_85_2017</w:t>
      </w:r>
    </w:p>
    <w:p>
      <w:r>
        <w:t>FR: GE_GERICHTE DAAJ/85/2017 du 23 mai 2017</w:t>
      </w:r>
    </w:p>
    <w:p>
      <w:r>
        <w:t>IT: GE_GERICHTE DAAJ/85/2017 del 23 maggio 2017</w:t>
      </w:r>
    </w:p>
    <w:p>
      <w:pPr>
        <w:pStyle w:val="Heading2"/>
      </w:pPr>
      <w:r>
        <w:t>Erwägungen</w:t>
      </w:r>
    </w:p>
    <w:p>
      <w:r>
        <w:rPr>
          <w:b/>
        </w:rPr>
        <w:t>E. 3</w:t>
      </w:r>
    </w:p>
    <w:p>
      <w:r>
        <w:t>La recourante reproche au premier juge d’avoir limité le nombre des heures d’avocat couvert par l’assistance juridique.</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3.1.2</w:t>
      </w:r>
    </w:p>
    <w:p>
      <w:r>
        <w:t>Selon les règles ordinaires de la procédure sommaire applicables dans le cadre de mesures protectrices de l'union conjugale, le tribunal donne à la partie adverse l'occasion de se déterminer oralement ou par écrit (art. 253 CPC). Le défendeur n'a pas le choix entre l'un ou l'autre des modes de détermination. Sauf si la loi impose la tenue d'une audience, il appartient en effet au Tribunal de définir le mode de détermination de la partie citée (KAUFMANN, in DIKE-Komm-ZPO, n. 13 ad</w:t>
      </w:r>
    </w:p>
    <w:p>
      <w:r>
        <w:t>- 5/6 -</w:t>
      </w:r>
    </w:p>
    <w:p>
      <w:r>
        <w:t>AC/3781/2016 art. 253 CPC; CHEVALIER, in et alii, Kommentar zur ZPO, n. 1 ad art. 253 CPC; MAZAN, in Basler Kommentar ZPO, n. 11 ad art. 253 CPC). Convoquer des débats permet au tribunal de s'abstenir d'inviter le cité à déposer des déterminations écrites, puisqu'il suffit au regard de l'art. 253 CPC qu'il puisse se déterminer oralement. Rien n'empêche toutefois le juge de fixer un tel délai si une écriture de la partie adverse lui paraît utile (TAPPY, in CPC Code de Procédure civile Commenté, Bâle 2011, n. 20 ad art. 273 CPC). En raison de la nature de la procédure sommaire en principe plus rapide que les procédures ordinaires ou simplifiées, il se justifie de se montrer restrictif pour admettre un second échange d'écritures en première instance, celui-ci devant être exceptionnel (ATF 138 III 252 consid. 2.1).</w:t>
      </w:r>
    </w:p>
    <w:p>
      <w:r>
        <w:rPr>
          <w:b/>
        </w:rPr>
        <w:t>E. 3.2</w:t>
      </w:r>
    </w:p>
    <w:p>
      <w:r>
        <w:t>En l'espèce, dans son arrêt du 20 mars 2017 la Cour de céans a d’ores et déjà confirmé que le principe de la limitation des heures d’avocats pour la présente procédure était conforme au droit, de sorte qu’il n’y a pas lieu d’y revenir. Par ailleurs, les deux heures supplémentaires octroyées par la décision litigieuse paraissent a priori suffisantes pour que le conseil de la recourante puisse assurer sa défense de manière conforme à ses intérêts. Il résulte en effet de la procédure au fond que le Tribunal a opté pour une procédure orale de sorte qu’il gardera la cause à juger sans un nouvel échange d’écriture des parties à l’issue de l’audience du 11 septembre 2017, à moins que des faits nouveaux ne surviennent lors de cette audience. Dès lors, outre la tenue de l’audience, le conseil de la recourante aura pour charge de prendre connaissance du rapport du SPMi, d’en discuter avec sa mandante, de produire les pièces nouvelles éventuelles et de préparer l’audience, avant finalement d’en parler ultérieurement avec sa mandante. Dès lors que sur les six heures d’avocat accordées par l’assistance juridique le conseil n’en a effectué que 3 heures et 10 minutes – étant rappelé que les audiences, courrier et téléphones sont en sus – 2 heures et 50 minutes s’avèrent suffisantes pour procéder aux actes à venir jusqu’au prononcé du jugement. La couverture des frais engendrés par la procédure de la recourante sera ainsi entièrement assurée par l’assistance juridique et non de manière partielle.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AC/3781/2016 PAR CES MOTIFS, LA PRESIDENTE DE LA COUR : Préalablement : Ordonne l'apport de la procédure C/16422/2016 (art. 8 al. 2 RAJ). A la forme : Déclare recevable le recours formé le 8 juin 2017 par A______ contre la décision rendue le par la Vice-présidente du Tribunal civil dans la cause AC/3781/2016. Au fond : Le rejette. Déboute A______ de toutes autres conclusions. Dit qu'il n'est pas perçu de frais judiciaires pour le recours, ni alloué de dépens. Notifie une copie de la présente décision à A______ en l'Étude de Me B______ (art. 137 CPC). Siégeant : Madame Sylvie DROIN, présidente;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