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DAAJ/82/2023 vom 4. April 2023</w:t>
      </w:r>
    </w:p>
    <w:p>
      <w:r>
        <w:t>GE Cour de justice, 2023-04-04, FR</w:t>
      </w:r>
    </w:p>
    <w:p>
      <w:r>
        <w:rPr>
          <w:b/>
        </w:rPr>
        <w:t xml:space="preserve">Quelle: </w:t>
      </w:r>
      <w:r>
        <w:t>https://mcp.opencaselaw.ch/entscheid/ge_gerichte_DAAJ_82_2023</w:t>
      </w:r>
    </w:p>
    <w:p>
      <w:r>
        <w:t>FR: GE_GERICHTE DAAJ/82/2023 du 4 avril 2023</w:t>
      </w:r>
    </w:p>
    <w:p>
      <w:r>
        <w:t>IT: GE_GERICHTE DAAJ/82/2023 del 4 aprile 2023</w:t>
      </w:r>
    </w:p>
    <w:p>
      <w:pPr>
        <w:pStyle w:val="Heading2"/>
      </w:pPr>
      <w:r>
        <w:t>Erwägungen</w:t>
      </w:r>
    </w:p>
    <w:p>
      <w:r>
        <w:rPr>
          <w:b/>
        </w:rPr>
        <w:t>E. 1.1</w:t>
      </w:r>
    </w:p>
    <w:p>
      <w:r>
        <w:t>En tant qu'elle refuse le changement d'avocat, la décision entreprise, rendue en procédure sommaire (art. 119 al. 3 CPC), est sujette à recours auprès de la présidente de la Cour de justice (art. 121 CPC, art. 17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17 al. 2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t>- 4/6 -</w:t>
      </w:r>
    </w:p>
    <w:p>
      <w:r>
        <w:t>AC/3372/2019</w:t>
      </w:r>
    </w:p>
    <w:p>
      <w:r>
        <w:rPr>
          <w:b/>
        </w:rPr>
        <w:t>E. 3.1</w:t>
      </w:r>
    </w:p>
    <w:p>
      <w:r>
        <w:t>Selon l'art. 14 al. 1 RAJ, le relief d'une nomination, avec ou sans nomination d'un nouvel avocat, n'est accordé ou ordonné d'office que pour de justes motifs, tels la rupture de la relation de confiance (let. c).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(DAAJ/3/2022 du 13 janvier 2022 consid. 3.1, DAAJ/130/2017 du 8 décembre 2017 consid. 3.4).</w:t>
      </w:r>
    </w:p>
    <w:p>
      <w:r>
        <w:rPr>
          <w:b/>
        </w:rPr>
        <w:t>E. 3.2</w:t>
      </w:r>
    </w:p>
    <w:p>
      <w:r>
        <w:t>En l'espèce, la recourante reproche une certaine inaction à son conseil, ainsi qu'un manque d'empathie à son égard. Cela étant, ainsi que l'a relevé à raison la vice-présidence du Tribunal civil, il ressort de l'avancement de la procédure, dans laquelle une expertise familiale a été ordonnée, qu'il n'y avait aucun acte de procédure à effectuer avant que le rapport d'expertise ne soit rendu. Le reproche de la recourante apparaît ainsi infondé. Quant à l'absence prétendue d'empathie et d'écoute que la recourante reproche à son conseil, elle n'est pas avérée. Ainsi que l'a relevé la vice-présidence du Tribunal civil, la recourante ne peut exiger de son conseil une disponibilité illimitée pour des entretiens téléphoniques et/ou physiques, l'avocat nommé d'office devant limiter son intervention aux actes nécessaires.</w:t>
      </w:r>
    </w:p>
    <w:p>
      <w:r>
        <w:t>- 5/6 -</w:t>
      </w:r>
    </w:p>
    <w:p>
      <w:r>
        <w:t>AC/3372/2019 Quant au fait que la recourante aurait payé, avant l'octroi de l'assistance juridique, des honoraires au conseil qui a ensuite été nommé d'office, il est indifférent pour la solution du présent litige. Il n'y a donc aucune raison objective qui commanderait un changement d'avocat, de sorte que la décision querellée doit être confirmée. Il appartiendra à l'autorité de première instance de statuer sur le relief de Me D______, sans nomination d'un nouveau conseil, ainsi que requis par la recourante.</w:t>
      </w:r>
    </w:p>
    <w:p>
      <w:r>
        <w:rPr>
          <w:b/>
        </w:rPr>
        <w:t>E. 4</w:t>
      </w:r>
    </w:p>
    <w:p>
      <w:r>
        <w:t>Sauf exceptions non réalisées en l'espèce, il n'est pas perçu de frais judiciaires pour la procédure d'assistance juridique (art. 119 al. 6 CPC). Compte tenu de l'issue du litige, n'y a pas lieu à l'octroi de dépens. * * * * *</w:t>
      </w:r>
    </w:p>
    <w:p>
      <w:r>
        <w:t>- 6/6 -</w:t>
      </w:r>
    </w:p>
    <w:p>
      <w:r>
        <w:t>AC/3372/2019 PAR CES MOTIFS, LA VICE-PRÉSIDENTE DE LA COUR : A la forme : Déclare recevable le recours formé par A______ contre la décision rendue le 4 avril 2023 par la vice-présidence du Tribunal civil dans la cause AC/3372/2019.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