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DAAJ/82/2017 vom 10. Mai 2017</w:t>
      </w:r>
    </w:p>
    <w:p>
      <w:r>
        <w:t>GE Cour de justice, 2017-05-10, FR</w:t>
      </w:r>
    </w:p>
    <w:p>
      <w:r>
        <w:rPr>
          <w:b/>
        </w:rPr>
        <w:t xml:space="preserve">Quelle: </w:t>
      </w:r>
      <w:r>
        <w:t>https://mcp.opencaselaw.ch/entscheid/ge_gerichte_DAAJ_82_2017</w:t>
      </w:r>
    </w:p>
    <w:p>
      <w:r>
        <w:t>FR: GE_GERICHTE DAAJ/82/2017 du 10 mai 2017</w:t>
      </w:r>
    </w:p>
    <w:p>
      <w:r>
        <w:t>IT: GE_GERICHTE DAAJ/82/2017 del 10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- 4/7 -</w:t>
      </w:r>
    </w:p>
    <w:p>
      <w:r>
        <w:t>AC/910/2017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 modification de la contribution d'entretien de l'enfant fixée dans un jugement de divorce est régie par l'art. 286 al. 2 CC, applicable par renvoi de l'art. 134 al. 2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137 III 604 consid. 4.1.1; 131 III 189 consid. 2.7.4; 120 II 177 consid. 3a, 285 consid. 4b).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5A_677/2016 du 16 février 2017 consid. 2.1.1). La maladie de longue durée, l'invalidité, des besoins en formation particuliers, la perte d'emploi de l'un des parents, la prise d'une activité lucrative par l'enfant, voire une modification de la situation familiale du débiteur avec de nouvelles obligations d'entretien à sa charge, telles que la naissance d'enfants, sont des exemples de changements pouvant revêtir un caractère notable (MEIER/STETTLER, Droit de la filiation, 2014, p. 736, n° 1102). Le moment déterminant pour apprécier si des circonstances nouvelles se sont produites est la date du dépôt de la demande de modification du jugement de divorce (ATF 137 III 604 consid. 4.1; 120 II 285 consid. 4b; arrêt du Tribunal fédéral 5A_260/2016 du 14 octobre 2016 consid. 2.1.1).</w:t>
      </w:r>
    </w:p>
    <w:p>
      <w:r>
        <w:t>- 5/7 -</w:t>
      </w:r>
    </w:p>
    <w:p>
      <w:r>
        <w:t>AC/910/2017 3.1.3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L'art. 273 al. 1 CC dispose que le père ou la mère qui ne détient pas la garde ainsi que l'enfant mineur ont réciproquement le droit d'entretenir les relations personnelles indiquées par les circonstances.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p. 78; arrêts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 arrêt 5A_120/2013 du 23 mai 2013 consid. 2.1.1). 3.2.1 En l'espèce, lors du prononcé du divorce le recourant était sans emploi et au bénéfice de prestations de l’Hospice général. Il en va de même actuellement. Le juge du divorce avait considéré qu’au vu de l’âge du recourant – alors âgé de 30 ans – et de sa formation dans le domaine de l’Hôtellerie, celui-ci était en mesure de trouver un emploi et de réaliser un revenu hypothétique qui a été fixé à 3'500 fr. A ce jour, le recourant est âgé 36 ans. Il est encore loin de l’âge de la retraite et n’a pas rendu vraisemblable ne pas être en mesure de travailler – le certificat médical produit en appel étant irrecevable et n’attestant pas pour le surplus d’une incapacité de travailler du recourant – de sorte qu’il peut toujours être exigé de lui qu’il trouve un emploi dans le domaine de l’hôtellerie, cas échéant dans un autre domaine, tel le nettoyage. Par conséquent, aucun élément nouveau n’est survenu depuis le prononcé du jugement de divorce. 3.2.2 S’agissant des relations personnelles, le recourant n’a pas pris contact depuis 2013 avec la guidance infantile ou un psychiatre dans le but de remplir les conditions qui lui</w:t>
      </w:r>
    </w:p>
    <w:p>
      <w:r>
        <w:t>- 6/7 -</w:t>
      </w:r>
    </w:p>
    <w:p>
      <w:r>
        <w:t>AC/910/2017 permettraient d’exercer à nouveau son droit de visite. Dès lors que cela fait plusieurs années que les autorités lui demandent d’agir en ce sens et qu’il s’y refuse, coupant pour le surplus tout lien avec le curateur, le recourant échoue à rendre vraisemblable qu’il va prochainement entreprendre ces démarches, seules conditions auxquelles il peut espérer revoir ses enfants. Dès lors, les chances que le recourant puisse obtenir le rétablissement de son droit de visite sont, en l’état, extrêmement faibles.</w:t>
      </w:r>
    </w:p>
    <w:p>
      <w:r>
        <w:rPr>
          <w:b/>
        </w:rPr>
        <w:t>E. 3.3</w:t>
      </w:r>
    </w:p>
    <w:p>
      <w:r>
        <w:t>Au vu de ce qui précède, c’est à juste titre que le premier juge a considéré que, en l’état, l’action en modification du jugement de divorce envisagée par le recourant semblait dénuée de chance de succès. Le recours sera ainsi rejeté.</w:t>
      </w:r>
    </w:p>
    <w:p>
      <w:r>
        <w:rPr>
          <w:b/>
        </w:rPr>
        <w:t>E. 4</w:t>
      </w:r>
    </w:p>
    <w:p>
      <w:r>
        <w:t>Sauf exceptions non réalisées en l'espèce, il n'est pas perçu de frais judiciaires pour la procédure d'assistance juridique (art. 119 al. 6 CPC). * * * * *</w:t>
      </w:r>
    </w:p>
    <w:p>
      <w:r>
        <w:t>- 7/7 -</w:t>
      </w:r>
    </w:p>
    <w:p>
      <w:r>
        <w:t>AC/910/2017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