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DAAJ/7/2024 vom 8. Februar 2024</w:t>
      </w:r>
    </w:p>
    <w:p>
      <w:r>
        <w:t>GE Cour de justice, 2024-02-08, FR</w:t>
      </w:r>
    </w:p>
    <w:p>
      <w:r>
        <w:rPr>
          <w:b/>
        </w:rPr>
        <w:t xml:space="preserve">Quelle: </w:t>
      </w:r>
      <w:r>
        <w:t>https://mcp.opencaselaw.ch/entscheid/ge_gerichte_DAAJ_7_2024</w:t>
      </w:r>
    </w:p>
    <w:p>
      <w:r>
        <w:t>FR: GE_GERICHTE DAAJ/7/2024 du 8 février 2024</w:t>
      </w:r>
    </w:p>
    <w:p>
      <w:r>
        <w:t>IT: GE_GERICHTE DAAJ/7/2024 del 8 febbraio 2024</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LPA-GE - E 5 10), compétence expressément déléguée à la vice-présidente soussignée sur la base des art. 29 al. 5 de la Loi sur l’organisation judiciaire du 26 septembre 2010 (LOJ E 2 05) et 10 al. 1 du Règlement de la Cour de justice (RSG-E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w:t>
      </w:r>
    </w:p>
    <w:p>
      <w:r>
        <w:rPr>
          <w:b/>
        </w:rPr>
        <w:t>E. 1.2</w:t>
      </w:r>
    </w:p>
    <w:p>
      <w:r>
        <w:t>En l'espèce, les recours sont recevables pour avoir été interjetés dans le délai utile et en la forme écrite prescrite par la loi. Vu leur connexité, les deux recours seront traités dans une seule décision.</w:t>
      </w:r>
    </w:p>
    <w:p>
      <w:r>
        <w:t>- 5/9 -</w:t>
      </w:r>
    </w:p>
    <w:p>
      <w:r>
        <w:t>AC/2791/2023</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A titre préalable, la recourante sollicite l'assistance judiciaire pour la procédure de recours. Cette demande devant être formulée auprès de la Présidence du Tribunal civil (art. 1 al. 1 RAJ), il ne sera pas entré en matière.</w:t>
      </w:r>
    </w:p>
    <w:p>
      <w:r>
        <w:rPr>
          <w:b/>
        </w:rPr>
        <w:t>E. 4</w:t>
      </w:r>
    </w:p>
    <w:p>
      <w:r>
        <w:t>4.1.1.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w:t>
      </w:r>
    </w:p>
    <w:p>
      <w:r>
        <w:t>- 6/9 -</w:t>
      </w:r>
    </w:p>
    <w:p>
      <w:r>
        <w:t>AC/2791/2023 ne pourront pas être prouvés (arrêt du Tribunal fédéral 4A_614/2015 du 25 avril 2016 consid. 3.2).</w:t>
      </w:r>
    </w:p>
    <w:p>
      <w:r>
        <w:t>4.1.2. 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 du Tribunal fédéral 5A_984/2022 du 27 mars 2023 consid. 3.2 et les références citées).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4A_480/2022 du 29 novembre 2022 consid. 3.2). Ainsi, lorsque le requérant assisté ne satisfait pas (suffisamment) à ses obligations, la requête peut être rejetée faute d'être suffisamment étayée (arrêt du Tribunal fédéral 5A_694/2022 du 23 janvier 2023 consid. 4.1). 4.1.3. La compétence ratione materiae de la juridiction genevoise des baux et loyers est définie par l'art. 89 LOJ. Selon cette disposition, le Tribunal des baux et loyers connaît des litiges relatifs au contrat de bail à loyer (art. 253 à 273c CO) et au contrat de bail à ferme non agricole (art. 275 à 304 CO) portant sur une chose immobilière (art. 89 al. 1 let. a LOJ). La Cour, dans un arrêt de principe du 6 mai 2019 (ACJC/646/2019), a considéré qu'il y avait lieu d'admettre que la juridiction des baux et loyers peut connaître des litiges survenant entre un bailleur principal et un sous-locataire, la notion de « litiges relatifs au contrat de bail à loyer » au sens de l'art. 89 LOJ devant être comprise extensivement. Ainsi, le Tribunal des baux et loyers est compétent à raison de la matière pour statuer sur tout litige relatif aux baux et loyers opposant un bailleur principal à un sous- locataire (restitution des locaux, évacuation, exécution de l'évacuation, demande en paiement d'une indemnité pour occupation illicite, etc.). Cette compétence ne concernera cependant que les rapports entre un bailleur principal et un sous-locataire, à l'exclusion d'un squatteur, d'un occupant non titulaire d'un contrat de bail de sous- location ou d'un occupant à titre gratuit titulaire d'un contrat de prêt à usage, cas où la compétence de la juridiction ordinaire demeure (art. 86 LOJ). 4.1.4. Le bail à loyer est un contrat par lequel le bailleur s'oblige à céder l'usage d'une chose au locataire, moyennant un loyer (art. 253 CO). La formation du contrat de bail suppose la réunion de quatre éléments : une cession de l'usage, une chose, un loyer et</w:t>
      </w:r>
    </w:p>
    <w:p>
      <w:r>
        <w:t>- 7/9 -</w:t>
      </w:r>
    </w:p>
    <w:p>
      <w:r>
        <w:t>AC/2791/2023 une certaine durée (BOHNET/DIETSCHY-MARTENET, Commentaire pratique, Droit du bail, art. 253 CO N. 58). La conclusion du contrat de bail est soumise aux règles générales des art. 1ss CO (arrêt du Tribunal fédéral 4A_75/2015 du 9 juin 2015, consid. 3.1.1), la loi ne prescrivant aucune forme pour le contrat de bail (art. 11 al. 1 CO). Ainsi, un contrat de bail peut être conclu sous la forme écrite (art. 16 CO), expressément ou implicitement. Le contrat de bail peut également être conclu oralement de manière tacite ou par acte concluant (art. 1 al. 2 CO). Cela étant pour que tel soit le cas les parties doivent manifester leur volonté de façon concordante sur tous les points essentiels du contrat. En matière de bail, le Tribunal fédéral a relevé que la conclusion d'un bail tacite ne doit être retenue qu'avec prudence (arrêts du Tribunal fédéral 4A_75/2015, consid. 4.1 et 4A_499/2013 du 4 février 2014, consid. 3.3.1). Dans l'analyse que doit conduire la juridiction, l'ensemble des circonstances doit être pris en compte (arrêt du Tribunal fédéral 4A_247/2008 du 19 août 2008, consid. 3.2.1). 4.1.5. Sauf stipulation contraire, le locataire n'est pas tenu d'occuper lui-même la chose louée (ATF 136 III 186 consid. 3.1.2). Le locataire peut ainsi sous-louer tout ou partie de la chose avec le consentement du bailleur (art. 262 al. 1 CO). La jurisprudence admet également que le locataire puisse remettre l'usage de la chose louée à un tiers sous forme de prêt à usage lorsque le locataire cède par contrat l'usage de la chose louée sans contre-prestation. En marge du prêt à usage, le Tribunal fédéral a également admis l'hébergement de familiers par le locataire, notamment son conjoint, son partenaire, son concubin, ses enfants, ainsi que d'autres proches, par exemple des amis. Un tel hébergement n'est ni une sous-location, ni un prêt à usage, faute d'animus contrahendi et est toujours possible aussi longtemps que cela ne provoque pas une sur- occupation des locaux (arrêt du Tribunal fédéral 4A_521/2021 du 3 janvier 2023 consid. 3.2.3 et les références citées).</w:t>
      </w:r>
    </w:p>
    <w:p>
      <w:r>
        <w:rPr>
          <w:b/>
        </w:rPr>
        <w:t>E. 4.2</w:t>
      </w:r>
    </w:p>
    <w:p>
      <w:r>
        <w:t>En l'espèce, la recourante soutient qu'en partageant l'appartement de feu D______ durant de nombreuses années et en s'acquittant auprès de celui-ci d'une partie du loyer, elle aurait eu le statut de sous-locataire partielle dudit logement jusqu'au décès du locataire en septembre 2021. Le litige qui l'oppose à la Commune de C______ devrait ainsi, selon elle, être considéré comme relevant de la compétence du Tribunal des baux et loyers et non de celle du Tribunal de première instance. Si les liens entre la recourante et le défunt ne sont pas clairement établis, il n'en demeure pas moins qu'à teneur des pièces produites, la recourante, qualifiée de proche-aidante par son médecin, qui était également le médecin de feu D______, prenait en charge plus de la moitié du loyer. Il ne peut ainsi être déduit de ces seuls faits que le défunt et la recourante étaient des concubins qui partageaient leur loyer, ce d'autant que personne, pas même la Commune de C______, n'a allégué que feu D______ était le compagnon de la recourante. Il apparaît au contraire que les intéressés ont conclu un contrat de sous-location tacite permettant à la recourante d'occuper le logement à titre onéreux.</w:t>
      </w:r>
    </w:p>
    <w:p>
      <w:r>
        <w:t>- 8/9 -</w:t>
      </w:r>
    </w:p>
    <w:p>
      <w:r>
        <w:t>AC/2791/2023 Au vu de ce qui précède, il ne paraît pas impossible que le Tribunal de première instance considère que la recourante soit titulaire d'un contrat de sous-location et, par conséquent, déclare la requête en évacuation irrecevable pour défaut de compétence ratione materiae. C'est dès lors à tort que la Vice-présidence du Tribunal civil a refusé d'octroyer l'assistance judiciaire à la recourante, sa défense à l'action en évacuation en cas clair n'apparaissant pas d'emblée dénuée de chances de succès. Le recours sera donc admis, la décision querellée annulée et la cause renvoyée à la vice- présidence du Tribunal civil pour examen de la condition d'indigence. Compte tenu de ce qui précède, le recours formé contre la décision du 31 octobre 2023 de la Vice-présidence du Tribunal civil refusant la reconsidération de la décision du 16 octobre 2023 est dès lors sans objet.</w:t>
      </w:r>
    </w:p>
    <w:p>
      <w:r>
        <w:rPr>
          <w:b/>
        </w:rPr>
        <w:t>E. 5</w:t>
      </w:r>
    </w:p>
    <w:p>
      <w:r>
        <w:t>Sauf exceptions non réalisées en l'espèce, il n'est pas perçu de frais judiciaires pour la procédure d'assistance juridique (art. 119 al. 6 CPC). * * * * *</w:t>
      </w:r>
    </w:p>
    <w:p>
      <w:r>
        <w:t>- 9/9 -</w:t>
      </w:r>
    </w:p>
    <w:p>
      <w:r>
        <w:t>AC/2791/2023 PAR CES MOTIFS, LA VICE-PRÉSIDENTE DE LA COUR : A la forme : Déclare recevables les recours formés par A______ contre les décisions rendues les 16 et 31 octobre 2023 par la vice-présidence du Tribunal civil dans la cause AC/2791/2023. Au fond : Annule la décision AJC/5174/2023 du 16 octobre 2023 et, cela fait, statuant à nouveau : Renvoie la cause à la vice-présidence du Tribunal civil pour nouvelle décision.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