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DAAJ/79/2019 vom 21. März 2019</w:t>
      </w:r>
    </w:p>
    <w:p>
      <w:r>
        <w:t>GE Cour de justice, 2019-03-21, FR</w:t>
      </w:r>
    </w:p>
    <w:p>
      <w:r>
        <w:rPr>
          <w:b/>
        </w:rPr>
        <w:t xml:space="preserve">Quelle: </w:t>
      </w:r>
      <w:r>
        <w:t>https://mcp.opencaselaw.ch/entscheid/ge_gerichte_DAAJ_79_2019</w:t>
      </w:r>
    </w:p>
    <w:p>
      <w:r>
        <w:t>FR: GE_GERICHTE DAAJ/79/2019 du 21 mars 2019</w:t>
      </w:r>
    </w:p>
    <w:p>
      <w:r>
        <w:t>IT: GE_GERICHTE DAAJ/79/2019 del 21 marzo 2019</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w:t>
      </w:r>
    </w:p>
    <w:p>
      <w:r>
        <w:t>- 6/9 -</w:t>
      </w:r>
    </w:p>
    <w:p>
      <w:r>
        <w:t>AC/2700/2018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la pièce nouvellement produite par le recourant et les faits qui en résultent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3.2.1. En sa qualité de mandataire, l'avocat est tenu à la bonne et fidèle exécution du mandat (art. 398 al. 2 CO). Il répond à l'endroit de son mandant s'il lui cause un dommage en violant ses obligations de diligence et de fidélité (ATF 134 III 534 consid. 3.2.2; 127 III 357 consid. 1b et les références). Savoir si la manière d'agir d'un</w:t>
      </w:r>
    </w:p>
    <w:p>
      <w:r>
        <w:t>- 7/9 -</w:t>
      </w:r>
    </w:p>
    <w:p>
      <w:r>
        <w:t>AC/2700/2018 avocat doit être qualifiée de conforme ou non à son devoir de diligence résulte d'une pesée appréciative entre, d'une part, le risque engendré par le métier d'avocat et, d'autre part, l'autorité renforcée dont il est revêtu à l'égard de son mandant (ATF 134 III 534 consid. 3.2.2; 127 III 357 consid. 1c).</w:t>
      </w:r>
    </w:p>
    <w:p>
      <w:r>
        <w:rPr>
          <w:b/>
        </w:rPr>
        <w:t>E. 3.2.2</w:t>
      </w:r>
    </w:p>
    <w:p>
      <w:r>
        <w:t>Les actions fondées sur des obligations contractuelles se prescrivent, sauf disposition spéciale, par dix ans (art. 127 CO), dès que la créance est devenue exigible (art. 130 al. 1 CO). La prétention en dommages-intérêts découlant de la violation positive du contrat naît et devient exigible au moment de la violation du devoir contractuel, et non pas seulement lorsque le lésé peut reconnaître et constater les conséquences de cette violation. En d'autres termes, elle commence à se prescrire avec la violation du contrat, indépendamment de la survenance du dommage (ATF 137 III 16 consid. 2.3, 2.4.1 et 2.4.3). La prescription est notamment interrompue lorsque le créancier fait valoir ses droits par des poursuites (art. 135 ch. 2 CO). Si les conditions de l'art. 67 LP sont remplies, la réquisition de poursuite interrompt la prescription dès sa remise à la poste (ATF 104 III 20). Une mention telle que "dommages-intérêts" ou toute périphrase relative à la cause de la créance, qui permet au poursuivi, conjointement avec les autres indications figurant sur le commandement de payer, de reconnaître la somme déduite en poursuite, suffit à remplir les exigences de l'art. 67 al. 1 ch. 4 LP qui dispose que le commande- ment de payer doit contenir, entre autres indications, le titre et la date de la créance ou, à défaut, la cause de l'obligation (arrêt du Tribunal fédéral 5A_169/2009 du Tribunal fédéral du 3 novembre 2009 consid. 2.1).</w:t>
      </w:r>
    </w:p>
    <w:p>
      <w:r>
        <w:rPr>
          <w:b/>
        </w:rPr>
        <w:t>E. 3.3</w:t>
      </w:r>
    </w:p>
    <w:p>
      <w:r>
        <w:t>En l'espèce, la question du dies a quo du délai de prescription décennal de l'action contractuelle et celle de savoir si la réquisition de poursuite du 19 juillet 2018 constitue un acte interruptif de prescription valable peuvent demeurer indécises. Comme l'a retenu à juste titre le Vice-président du Tribunal civil, la procédure devant la juridiction des prud'hommes avait trait à la relation de travail ayant lié le recourant à D______ et I______ et à la validité du licenciement intervenu le 26 octobre 2005. Dans le cadre de cette procédure prud'homale, le recourant avait certes fait valoir qu'il était lié à D______ par un contrat de société simple. Cependant, la finalité de la procédure n'était pas de faire établir ce point, mais de sauvegarder les droits du recourant dans l'hypothèse où cette thèse ne serait pas retenue par les juridictions ordinaires. Le recourant peut difficilement reprocher à son ancien avocat de ne pas être parvenu à faire reconnaître judiciairement, dans une procédure prud'homale de seconde instance dont ce n'était pas l'objet, la thèse de son client selon laquelle il était l'associé (unique) de D______ pour l'exploitation [de l'établissement] F______, alors qu'il a encore fallu de nombreuses années et divers actes de procédure à son nouvel avocat pour parvenir à ce résultat. Par ailleurs, le recourant ne rend a priori pas vraisemblable que l'éventuel conflit d'intérêts reproché à Me C______ aurait eu des conséquences dommageables pour lui.</w:t>
      </w:r>
    </w:p>
    <w:p>
      <w:r>
        <w:t>- 8/9 -</w:t>
      </w:r>
    </w:p>
    <w:p>
      <w:r>
        <w:t>AC/2700/2018 Il n'est à première vue pas plausible que la vente litigieuse du restaurant n'aurait pas eu lieu si l'avocat en cause était préalablement intervenu auprès de E______, puisqu'aucun élément concret ne permettait de prouver la thèse défendue depuis 2006 par le recourant, thèse qui n'a finalement été judiciairement reconnue qu'après plusieurs années de batailles judiciaires. Au demeurant, aux termes de ces procédures, il a été constaté judiciairement et de manière définitive que le recourant n'était plus copropriétaire [de l'établissement] F______ depuis le 31 décembre 2005, date à laquelle la société simple qu'il formait avec D______ a été dissoute. Ainsi, a posteriori, l'on constate que le recourant n'aurait de toute manière pas dû prendre part à la vente du restaurant en 2008, puisqu'il ne faisait plus partie de ses exploitants depuis le 1er janvier 2006. Pour le surplus, l'ensemble des prétentions formulées par le recourant semblent purement hypothétiques et largement surévaluées. Un plaideur raisonnable n'engagerait pas des frais liés à une procédure d'une valeur litigieuse de 2'500'000 fr. alors que les divers postes de son dommage ne paraissent pas vraisemblables. Compte tenu de ce qui précède, c'est à juste titre que le Vice-président du Tribunal civil a refusé d'octroyer le bénéfice de l'assistance juridique au recourant au motif que sa cause semblait dénuée de chances de succès. Partant, le recours, infondé, sera rejeté.</w:t>
      </w:r>
    </w:p>
    <w:p>
      <w:r>
        <w:rPr>
          <w:b/>
        </w:rPr>
        <w:t>E. 4</w:t>
      </w:r>
    </w:p>
    <w:p>
      <w:r>
        <w:t>Sauf exceptions non réalisées en l'espèce, il n'est pas perçu de frais judiciaires pour la procédure d'assistance juridique (art. 119 al. 6 CPC). * * * * *</w:t>
      </w:r>
    </w:p>
    <w:p>
      <w:r>
        <w:t>- 9/9 -</w:t>
      </w:r>
    </w:p>
    <w:p>
      <w:r>
        <w:t>AC/2700/2018</w:t>
      </w:r>
    </w:p>
    <w:p>
      <w:r>
        <w:t>PAR CES MOTIFS, LE VICE-PRÉSIDENT DE LA COUR : A la forme : Déclare recevable le recours formé par A______ contre la décision rendue le 21 mars 2019 par le Vice-président du Tribunal civil dans la cause AC/2700/2018. Au fond : Le rejette. Déboute A______ de toutes autres conclusions. Dit qu'il n'est pas perçu de frais judiciaires pour le recours. Notifie une copie de la présente décision à A______ en l'Étude de Me B______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