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DAAJ/79/2018 vom 31. Mai 2018</w:t>
      </w:r>
    </w:p>
    <w:p>
      <w:r>
        <w:t>GE Cour de justice, 2018-05-31, FR</w:t>
      </w:r>
    </w:p>
    <w:p>
      <w:r>
        <w:rPr>
          <w:b/>
        </w:rPr>
        <w:t xml:space="preserve">Quelle: </w:t>
      </w:r>
      <w:r>
        <w:t>https://mcp.opencaselaw.ch/entscheid/ge_gerichte_DAAJ_79_2018</w:t>
      </w:r>
    </w:p>
    <w:p>
      <w:r>
        <w:t>FR: GE_GERICHTE DAAJ/79/2018 du 31 mai 2018</w:t>
      </w:r>
    </w:p>
    <w:p>
      <w:r>
        <w:t>IT: GE_GERICHTE DAAJ/79/2018 del 31 maggio 2018</w:t>
      </w:r>
    </w:p>
    <w:p>
      <w:pPr>
        <w:pStyle w:val="Heading2"/>
      </w:pPr>
      <w:r>
        <w:t>Erwägungen</w:t>
      </w:r>
    </w:p>
    <w:p>
      <w:r>
        <w:rPr>
          <w:b/>
        </w:rPr>
        <w:t>E. 26</w:t>
      </w:r>
    </w:p>
    <w:p>
      <w:r>
        <w:t>février 2018 et du suivi médical d'une durée de huit mois à une année nécessaire après l'intervention, selon le certificat de la Doctoresse H______, un nouveau délai au</w:t>
      </w:r>
    </w:p>
    <w:p>
      <w:r>
        <w:rPr>
          <w:b/>
        </w:rPr>
        <w:t>E. 31</w:t>
      </w:r>
    </w:p>
    <w:p>
      <w:r>
        <w:t>mai 2018 par le Vice-président du Tribunal civil dans la cause AC/3649/2017.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w:t>
      </w:r>
    </w:p>
    <w:p>
      <w:r>
        <w:t>Le Vice-président : Patrick CHENAUX</w:t>
      </w:r>
    </w:p>
    <w:p>
      <w:r>
        <w:t>La greffière : Maïté VALENTE</w:t>
      </w:r>
    </w:p>
    <w:p>
      <w:r>
        <w:t>Indication des voies de recours :</w:t>
      </w:r>
    </w:p>
    <w:p>
      <w:r>
        <w:t>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