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DAAJ/79/2017 vom 31. Mai 2017</w:t>
      </w:r>
    </w:p>
    <w:p>
      <w:r>
        <w:t>GE Cour de justice, 2017-05-31, FR</w:t>
      </w:r>
    </w:p>
    <w:p>
      <w:r>
        <w:rPr>
          <w:b/>
        </w:rPr>
        <w:t xml:space="preserve">Quelle: </w:t>
      </w:r>
      <w:r>
        <w:t>https://mcp.opencaselaw.ch/entscheid/ge_gerichte_DAAJ_79_2017</w:t>
      </w:r>
    </w:p>
    <w:p>
      <w:r>
        <w:t>FR: GE_GERICHTE DAAJ/79/2017 du 31 mai 2017</w:t>
      </w:r>
    </w:p>
    <w:p>
      <w:r>
        <w:t>IT: GE_GERICHTE DAAJ/79/2017 del 31 maggio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 ATF 124 I 1 consid. 2a). Dans tous les cas, seules les charges réellement acquittées sont susceptibles d'entrer dans le calcul du minimum vital. Les dettes anciennes, pour lesquelles le débiteur ne verse plus rien, n'entrent pas en ligne de compte (ATF 135 I 221 consid. 5.1). 3.2. En l'espèce, l’appelant ne conteste pas bénéficier d’un revenu mensuel de 3'109 fr. par mois et assumer des charges mensuelles de 2'035 fr. par mois. Il fait toutefois valoir que le solde mensuel constaté par le premier juge ne saurait être prioritairement attribué à son conseil alors qu’il a de nombreux autres créanciers. Or, le</w:t>
      </w:r>
    </w:p>
    <w:p>
      <w:r>
        <w:t>- 4/5 -</w:t>
      </w:r>
    </w:p>
    <w:p>
      <w:r>
        <w:t>AC/1713/2017 recourant n’a pas rendu vraisemblable s’acquitter de ses dettes envers ces derniers de sorte qu’il ne peut en être tenu compte dans ses charges. Compte tenu des faits portés à sa connaissance, c'est donc à bon droit que la Vice- présidente du Tribunal civil a considéré que la situation financière du recourant lui permettait d'assumer seul les frais relatifs à la procédure de divorce envisagée. A cela s’ajoute que la nécessité de recourir à un conseil juridique dans le cadre d’une procédure pour cas clair paraît douteuse, étant relevé que le recourant s’est vu nommer un curateur pour le représenter dans les affaires administratives et juridiques. Partant, le recours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- 5/5 -</w:t>
      </w:r>
    </w:p>
    <w:p>
      <w:r>
        <w:t>AC/1713/2017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