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DAAJ/79/2013 vom 17. Juli 2013</w:t>
      </w:r>
    </w:p>
    <w:p>
      <w:r>
        <w:t>GE Cour de justice, 2013-07-17, FR</w:t>
      </w:r>
    </w:p>
    <w:p>
      <w:r>
        <w:rPr>
          <w:b/>
        </w:rPr>
        <w:t xml:space="preserve">Quelle: </w:t>
      </w:r>
      <w:r>
        <w:t>https://mcp.opencaselaw.ch/entscheid/ge_gerichte_DAAJ_79_2013</w:t>
      </w:r>
    </w:p>
    <w:p>
      <w:r>
        <w:t>FR: GE_GERICHTE DAAJ/79/2013 du 17 juillet 2013</w:t>
      </w:r>
    </w:p>
    <w:p>
      <w:r>
        <w:t>IT: GE_GERICHTE DAAJ/79/2013 del 17 luglio 2013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21 al. 3 LaCC), compétence déléguée à la vice-présidente soussignée (art. 29 al. 5 LOJ ; arrêt du Tribunal fédéral 2D_6/2012 du 31 juillet 2012 consid. 2). Le recours, écrit et motivé, est</w:t>
      </w:r>
    </w:p>
    <w:p>
      <w:r>
        <w:t>- 4/7 -</w:t>
      </w:r>
    </w:p>
    <w:p>
      <w:r>
        <w:t>AC/795/2010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l'art. 326 al. 1 CPC, les allégations de faits et les preuves nouvelles sont irrecevables dans le cadre d'une procédure de recours. Par conséquent, les allégués de fait et les pièces nouveaux sont écartés de la procédure.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404).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4.1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4.2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w:t>
      </w:r>
    </w:p>
    <w:p>
      <w:r>
        <w:t>- 5/7 -</w:t>
      </w:r>
    </w:p>
    <w:p>
      <w:r>
        <w:t>AC/795/2010 de ses frais de justice ou honoraires d'avocat, par exemple à la suite de l'issue favorable de la procédure ou des démarches entreprises (art. 13 let. b aRAJ). En cas de révocation avec effet rétroactif, le bénéficiaire est condamné au paiement des montants qu'il a été dispensé de verser et au remboursement de ceux versés par l'État (art. 22 al. 1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4.3</w:t>
      </w:r>
    </w:p>
    <w:p>
      <w:r>
        <w:t>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(DAAJ/14/2013 ; DONZALLAZ, Loi sur le Tribunal fédéral : commentaire, Berne 2008, n. 1815 ad art. 64 LTF).</w:t>
      </w:r>
    </w:p>
    <w:p>
      <w:r>
        <w:rPr>
          <w:b/>
        </w:rPr>
        <w:t>E. 4.4</w:t>
      </w:r>
    </w:p>
    <w:p>
      <w:r>
        <w:t>En l'espèce, les réquisits formels ont été respectés, puisque le greffe de l'Assistance juridique a informé la recourante, par courrier du 21 mars 2013, qu'une révocation de l'assistance juridique était envisagée dans le cadre de la procédure AC/795/2010. La recourante a produit les pièces requises par divers envois effectués entre le 26 mars 2013 et le 12 juillet 2013. La recourante critique à juste titre le montant retenu par le premier juge au titre des prestations complémentaires, dès lors que la décision du SPC indique qu'elle a droit à un montant mensuel de 616 fr. à compter du 1er avril 2013. Les revenus du ménage de la</w:t>
      </w:r>
    </w:p>
    <w:p>
      <w:r>
        <w:t>- 6/7 -</w:t>
      </w:r>
    </w:p>
    <w:p>
      <w:r>
        <w:t>AC/795/2010 recourante s'élèvent ainsi à 2'681 fr. (500 fr. de contribution d'entretien + 1'565 fr. de rente AI + 616 fr.). Les charges admissibles totalisant 3'251 fr. 20 fr., le budget du ménage de la recourante présente un déficit de 570 fr. environ. Compte tenu de la situation financière du ménage de la recourante, du fait que celle-ci est au bénéfice d'une rente AI et que son fils est actuellement sans emploi, il y a lieu de considérer que le capital LPP de 47'000 fr. - s'il a effectivement été perçu par la recourante, comme le retient la décision entreprise - constitue une réserve de secours. Le premier juge a ainsi retenu à tort que la recourante était revenue à meilleure fortune. Partant, le recours est admis et la décision entreprise sera annulée.</w:t>
      </w:r>
    </w:p>
    <w:p>
      <w:r>
        <w:rPr>
          <w:b/>
        </w:rPr>
        <w:t>E. 5</w:t>
      </w:r>
    </w:p>
    <w:p>
      <w:r>
        <w:t>Sauf exceptions non réalisées en l'espèce, il n'est pas perçu de frais judiciaires pour la procédure d'assistance juridique (art. 119 al. 6 CPC). * * * * *</w:t>
      </w:r>
    </w:p>
    <w:p>
      <w:r>
        <w:t>- 7/7 -</w:t>
      </w:r>
    </w:p>
    <w:p>
      <w:r>
        <w:t>AC/795/2010 PAR CES MOTIFS, LA VICE-PRÉSIDENTE DE LA COUR : À la forme : Déclare recevable le recours formé par A______ contre la décision rendue le 17 juillet 2013 par la Vice-présidente du Tribunal civil dans la cause AC/795/2010. Au fond : Admet le recours et annule la décision entreprise. Déboute A______ de toutes autres conclusions. Dit qu'il n'est pas perçu de frais judiciaires. Notifie une copie de la présente décision à A______ (art. 327 al. 5 CPC et 8 al. 3 RAJ).</w:t>
      </w:r>
    </w:p>
    <w:p>
      <w:r>
        <w:t>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