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DAAJ/78/2017 vom 22. Mai 2017</w:t>
      </w:r>
    </w:p>
    <w:p>
      <w:r>
        <w:t>GE Cour de justice, 2017-05-22, FR</w:t>
      </w:r>
    </w:p>
    <w:p>
      <w:r>
        <w:rPr>
          <w:b/>
        </w:rPr>
        <w:t xml:space="preserve">Quelle: </w:t>
      </w:r>
      <w:r>
        <w:t>https://mcp.opencaselaw.ch/entscheid/ge_gerichte_DAAJ_78_2017</w:t>
      </w:r>
    </w:p>
    <w:p>
      <w:r>
        <w:t>FR: GE_GERICHTE DAAJ/78/2017 du 22 mai 2017</w:t>
      </w:r>
    </w:p>
    <w:p>
      <w:r>
        <w:t>IT: GE_GERICHTE DAAJ/78/2017 del 22 maggio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- 3/5 -</w:t>
      </w:r>
    </w:p>
    <w:p>
      <w:r>
        <w:t>AC/717/2017</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incombe au requérant d'indiquer de manière complète et d'établir autant que faire se peut ses revenus, sa situation de fortune et ses charges (art. 119 al. 2 CPC et 7 al. 2 RAJ; ATF 135 I 221 consid. 5.1 ; arrêt du Tribunal fédéral 2C_585/2015 du 30 novembre 2015 consid. 5). Seules les charges réellement acquittées sont susceptibles d'entrer dans le calcul du minimum vital (ATF 135 I 221 consid. 5.1 ; arrêt du Tribunal fédéral 4D_19/2016 précité consid. 4.1). Les dettes anciennes, pour lesquelles le débiteur ne verse plus rien, n'entrent pas en ligne de compte (ATF 135 I 221 consid. 5.1).</w:t>
      </w:r>
    </w:p>
    <w:p>
      <w:r>
        <w:rPr>
          <w:b/>
        </w:rPr>
        <w:t>E. 2.2</w:t>
      </w:r>
    </w:p>
    <w:p>
      <w:r>
        <w:t>En l'espèce, le salaire retenu dans la décision querellée (3'033 fr. 90) ne correspond pas à celui réalisé par la recourante lors du dépôt de la demande d'assistance juridique. En effet, durant les trois mois qui ont précédé la requête, le salaire de la recourante s'est élevé à 2'603 fr. 50 en moyenne. C'est donc ce montant qui est déterminant. Les autres ressources de la recourante ne sont pas critiquées, de sorte que celle-ci bénéficie de revenus totalisant 4'358 fr. 50. Les charges de la recourante ont été correctement établies par l'autorité de première instance, les frais de babysitting invoqués dans le recours devant être écartés. La pièce produite à cet égard - concernant un mois isolé - ne rend pas vraisemblable leur caractère régulier, d'autant moins que la recourante ne les a pas mentionnés en sus des frais de crèche dans le formulaire de demande d'assistance juridique. Compte tenu de ce qui précède, le solde disponible de la recourante s'élève à 244 fr. 80 (4'358 fr. 50 - 4'113 fr. 70). Ce montant n'apparaît toutefois pas suffisant pour lui</w:t>
      </w:r>
    </w:p>
    <w:p>
      <w:r>
        <w:t>- 4/5 -</w:t>
      </w:r>
    </w:p>
    <w:p>
      <w:r>
        <w:t>AC/717/2017 permettre de financer seule les frais de justice et honoraires d'avocat liés à l'action alimentaire envisagée. Par conséquent, la décision querellée sera annulée. La cause sera renvoyée à l'autorité de première instance pour qu'elle se détermine sur les autres conditions d'octroi et rende une nouvelle décision.</w:t>
      </w:r>
    </w:p>
    <w:p>
      <w:r>
        <w:rPr>
          <w:b/>
        </w:rPr>
        <w:t>E. 3</w:t>
      </w:r>
    </w:p>
    <w:p>
      <w:r>
        <w:t>Sauf exceptions non réalisées en l'espèce, il n'est pas perçu de frais judiciaires pour la procédure d'assistance juridique (art. 119 al. 6 CPC). * * * * *</w:t>
      </w:r>
    </w:p>
    <w:p>
      <w:r>
        <w:t>- 5/5 -</w:t>
      </w:r>
    </w:p>
    <w:p>
      <w:r>
        <w:t>AC/717/2017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