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DAAJ/78/2016 vom 15. April 2016</w:t>
      </w:r>
    </w:p>
    <w:p>
      <w:r>
        <w:t>GE Cour de justice, 2016-04-15, FR</w:t>
      </w:r>
    </w:p>
    <w:p>
      <w:r>
        <w:rPr>
          <w:b/>
        </w:rPr>
        <w:t xml:space="preserve">Quelle: </w:t>
      </w:r>
      <w:r>
        <w:t>https://mcp.opencaselaw.ch/entscheid/ge_gerichte_DAAJ_78_2016</w:t>
      </w:r>
    </w:p>
    <w:p>
      <w:r>
        <w:t>FR: GE_GERICHTE DAAJ/78/2016 du 15 avril 2016</w:t>
      </w:r>
    </w:p>
    <w:p>
      <w:r>
        <w:t>IT: GE_GERICHTE DAAJ/78/2016 del 15 aprile 2016</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w:t>
      </w:r>
    </w:p>
    <w:p>
      <w:r>
        <w:t>- 4/6 -</w:t>
      </w:r>
    </w:p>
    <w:p>
      <w:r>
        <w:t>AC/757/2016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1er décembre 2008 consid. 4.2). 2.2.1. Aux termes de l'art. 51 al. 4 Loi sur la procédure administrative (LPA), la réclamation - notamment en matière fiscale (art. 39 Loi de procédure fiscale) - doit être formée dans les 30 jours dès la notification de la décision. La réclamation a effet suspensif (art. 51 al. 2 LPA). Selon l'art. 53 al. 1 let. a LPA, une décision est notamment exécutoire lorsqu'elle ne peut plus être attaquée par réclamation ou par recours. 2.2.2. La révision est une voie de droit extraordinaire, dépourvue d'effet suspensif (arrêt du Tribunal fédéral 5A_59/2015 du 30 septembre 2015 consid. 4.2.3). 2.2.3. D'après l'art. 80 al. 1 et al. 2 ch.2 de la Loi fédérale sur la poursuite pour dettes et la faillite (LP), le créancier qui est au bénéfice d'un jugement exécutoire peut requérir du juge la mainlevée définitive de l'opposition, étant précisé que sont assimilées à des jugements les décisions des autorités administratives suisses. A teneur de l'art. 81 al.1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w:t>
      </w:r>
    </w:p>
    <w:p>
      <w:r>
        <w:rPr>
          <w:b/>
        </w:rPr>
        <w:t>E. 2.3</w:t>
      </w:r>
    </w:p>
    <w:p>
      <w:r>
        <w:t>En l'espèce, il résulte de la décision du premier juge que le recourant n'a jamais allégué que les bordereaux de taxation litigieux ne lui avaient pas été notifiés. Il ne ressort d'ailleurs pas du dossier que ces décisions, envoyées par courriers du 21 mai</w:t>
      </w:r>
    </w:p>
    <w:p>
      <w:r>
        <w:t>- 5/6 -</w:t>
      </w:r>
    </w:p>
    <w:p>
      <w:r>
        <w:t>AC/757/2016 2014, seraient retournés à leur expéditeur. Ce n'est que dans le cadre du présent recours que le recourant semble invoquer pour la première fois qu'il n'avait pas eu connaissance, sans sa faute, des courriers de l'AFC envoyés à son domicile en France. Cela étant, comme l'a relevé à juste titre premier juge, le recourant a de toute manière eu connaissance des bordereaux de taxation en question au plus tard lorsque le commandement de payer lui a été notifié le 11 juin 2015. Il lui appartenait donc de réagir immédiatement afin de faire valoir la prétendue absence de notification préalable, de se procurer lesdits bordereaux et de déposer sa réclamation dans les 30 jours suivants. Or, sa réclamation a été déposée le 28 juillet 2015, soit de manière tardive. Il s'ensuit que les décisions de taxation sont devenues exécutoires. Ainsi, la réclamation tardive adressée à l'AFC, finalement traitée comme une demande de révision, ne fait pas obstacle à la procédure de mainlevée, dès lors que la révision n'a pas d'effet suspensif. Les autres arguments avancés par le recourant, notamment en lien avec les circonstances l'ayant empêché de remplir ses déclarations d'impôts dans les délais ou le montant des taxations litigieuses, sont dénués de pertinence. En définitive, le recourant ne soulève aucun argument susceptible de remettre en cause le prononcé de la mainlevée définitive de l'opposition formée au commandement de payer notifié en juin 2015. Compte tenu de ce qui précède, c'est à bon droit que le Vice-président du Tribunal civil a refusé d'octroyer l'assistance juridique au recourant au motif que sa cause apparaissait dépourvue de chances de succès. Partant, le recours, infondé, sera rejeté.</w:t>
      </w:r>
    </w:p>
    <w:p>
      <w:r>
        <w:rPr>
          <w:b/>
        </w:rPr>
        <w:t>E. 3</w:t>
      </w:r>
    </w:p>
    <w:p>
      <w:r>
        <w:t>Sauf exceptions non réalisées en l'espèce, il n'est pas perçu de frais judiciaires pour la procédure d'assistance juridique (art. 119 al. 6 CPC). * * * * *</w:t>
      </w:r>
    </w:p>
    <w:p>
      <w:r>
        <w:t>- 6/6 -</w:t>
      </w:r>
    </w:p>
    <w:p>
      <w:r>
        <w:t>AC/757/2016 PAR CES MOTIFS, LE VICE-PRÉSIDENT DE LA COUR : A la forme : Déclare recevable le recours formé par A______ contre la décision rendue le 15 avril 2016 par le Vice-président du Tribunal civil dans la cause AC/757/2016. Au fond : Le rejette.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