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DAAJ/77/2017 vom 31. Mai 2017</w:t>
      </w:r>
    </w:p>
    <w:p>
      <w:r>
        <w:t>GE Cour de justice, 2017-05-31, FR</w:t>
      </w:r>
    </w:p>
    <w:p>
      <w:r>
        <w:rPr>
          <w:b/>
        </w:rPr>
        <w:t xml:space="preserve">Quelle: </w:t>
      </w:r>
      <w:r>
        <w:t>https://mcp.opencaselaw.ch/entscheid/ge_gerichte_DAAJ_77_2017</w:t>
      </w:r>
    </w:p>
    <w:p>
      <w:r>
        <w:t>FR: GE_GERICHTE DAAJ/77/2017 du 31 mai 2017</w:t>
      </w:r>
    </w:p>
    <w:p>
      <w:r>
        <w:t>IT: GE_GERICHTE DAAJ/77/2017 del 31 maggio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ne paraisse dépourvue de toute chance de succès.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 arrêt du Tribunal fédéral 4D_19/2016 du 11 avril 2016 consid. 4.1).</w:t>
      </w:r>
    </w:p>
    <w:p>
      <w:r>
        <w:t>- 4/6 -</w:t>
      </w:r>
    </w:p>
    <w:p>
      <w:r>
        <w:t>AC/1538/2017 Il incombe au requérant d'indiquer de manière complète et d'établir autant que faire se peut ses revenus, sa situation de fortune et ses charges (art. 119 al. 2 CPC et 7 al. 2 RAJ; ATF 135 I 221 consid. 5.1 ; arrêt du Tribunal fédéral 2C_585/2015 du 30 novembre 2015 consid. 5).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Il convient de tenir compte des revenus réalisés par l'enfant majeur. Dans la mesure où la base d'entretien de l'enfant et ses primes d'assurance-maladie sont couvertes, leur montant ne saurait être inclus dans le minimum vital des parents (SJ 2000 II 199, p. 217). Par ailleurs, lorsque les revenus de l'enfant sont supérieurs au montant de ses charges, l'enfant doit participer au loyer des parents (SJ 2000 II 199, p. 218). Les allocations familiales fondées sur les lois cantonales et les rentes pour enfants selon les art. 22ter al. 1 LAVS, 35 LAI et 25 LPP sont affectées exclusivement à l'entretien de l'enfant. Ces prestations ne sont pas prises en compte dans le calcul du revenu du parent qui les reçoit (arrêt du Tribunal fédéral 5A_207/2009 du 21 octobre 2009 consid. 3.2). Les contributions d’entretien pour enfants sont réservées à la couverture des frais d’entretien des enfants et ne peuvent pas être utilisées pour financer un procès (ATF 142 III 36 consid. 2.3, qui renvoie également au consid. 3.2 de l'arrêt 5A_207/2009 précité).</w:t>
      </w:r>
    </w:p>
    <w:p>
      <w:r>
        <w:rPr>
          <w:b/>
        </w:rPr>
        <w:t>E. 3.3</w:t>
      </w:r>
    </w:p>
    <w:p>
      <w:r>
        <w:t>En l'espèce, c'est à juste titre que l'autorité de première instance a écarté les charges relatives à l'utilisation d'un véhicule privé, faute pour la recourante d'avoir démontré qu'un tel véhicule lui était indispensable pour des motifs médicaux. En revanche, le grief de la recourante en ce qui concerne l'estimation des revenus de son ménage est fondé. En effet, les rentes pour enfants que la recourante perçoit sont destinées à l'entretien de ses filles. Ainsi, si l'on exclut les charges de B______ au motif qu'elle est autonome financièrement, il convient également d'exclure les revenus qui sont destinés exclusivement à son entretien, soit en particulier l'allocation de formation professionnelle (400 fr.), la rente AI pour enfant perçue en lien avec l'invalidité de sa mère (812 fr.), ainsi que les rentes pour enfant et CAP (1'196 fr. 10/2 = 598 fr. 05) vraisemblablement perçues en lien avec l'invalidité de son père. C'est donc un total de 1'810 fr. 05 qui a été ajouté, à tort, aux revenus de la recourante. Par ailleurs, au regard de la jurisprudence mentionnée ci-dessus, les mêmes principes sont applicables en ce qui concerne C______, également majeure, les rentes et allocations versées en sa faveur (soit des montants identiques à ceux de sa sœur) étant supérieures au montant de ses charges (1'810 fr. – [1'440 fr. d'entretien de base, y</w:t>
      </w:r>
    </w:p>
    <w:p>
      <w:r>
        <w:t>- 5/6 -</w:t>
      </w:r>
    </w:p>
    <w:p>
      <w:r>
        <w:t>AC/1538/2017 compris la majoration de 20% + 25 fr. de prime d'assurance-maladie LAMal, subside déduit] = 305 fr. de disponible). Les revenus et les charges de C______ ne doivent donc pas être pris en compte pour estimer la situation financière de la recourante. B______ bénéficie également d'un disponible de 350 fr. environ, auquel s'ajoute le salaire, d'un montant indéterminé, qu'elle perçoit de son apprentissage. Conformément aux règles rappelées ci-dessus, les filles de la recourante doivent participer au paiement du loyer (1'799 fr.) du logement qu'elles occupent avec leur mère. Compte tenu de leurs disponibles respectifs, le montant mensuel de ladite participation sera arrêté à 300 fr. pour B______ et à 150 fr. pour C______. Compte tenu de ce qui précède, les ressources mensuelles de la recourante s'élèvent à 3'390 fr. environ, comprenant 2'087 fr. de rente AI, 159 fr. 05 de prestations des Rentes genevoises, 691 fr. de prestations du Service des prestations complémentaires et 450 fr. de participation de ses filles au loyer. Par ailleurs, ses charges admissibles s'élèvent à 3'283 fr. environ, soit 1'440 fr. d'entretien de base OP (majoration de 20% comprise), 1'799 fr. de loyer (parking exclu), 41 fr. 85 de cotisations à l'AVS et 2 fr. 10 d'impôts, sa prime d'assurance-maladie étant entièrement couverte par les subsides. Sous déduction de ses charges admissibles, la recourante bénéficie ainsi d'un disponible de 107 fr. Ce montant est insuffisant pour amortir en moins d'une année les honoraires de son avocate ainsi que les frais de procédure qui seront vraisemblablement mis à sa charge au regard de la nature familiale du litige. C'est donc à tort que le premier juge a considéré que la condition d'indigence n'était pas remplie. Par ailleurs, la condition des chances de succès de la procédure n'est pas litigieuse, s'agissant d'une procédure de divorce fondée sur l'art. 114 CC. Pour le surplus, le mari de la recourante étant représenté par un avocat pour ladite procédure, l'égalité des armes commande que la recourante le soit également (art. 118 al. 1 let. c CPC). Compte tenu de ce qui précède, la décision entreprise sera annulée et le bénéfice de l'assistance juridique sera octroyé à la recourante pour sa défense à la procédure de divorce initiée par son mari, cause C/3659/2017. Me Anik PIZZI, avocate, sera nommée pour défendre les intérêts de la recourante.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AC/1538/2017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