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DAAJ/77/2016 vom 14. April 2016</w:t>
      </w:r>
    </w:p>
    <w:p>
      <w:r>
        <w:t>GE Cour de justice, 2016-04-14, FR</w:t>
      </w:r>
    </w:p>
    <w:p>
      <w:r>
        <w:rPr>
          <w:b/>
        </w:rPr>
        <w:t xml:space="preserve">Quelle: </w:t>
      </w:r>
      <w:r>
        <w:t>https://mcp.opencaselaw.ch/entscheid/ge_gerichte_DAAJ_77_2016</w:t>
      </w:r>
    </w:p>
    <w:p>
      <w:r>
        <w:t>FR: GE_GERICHTE DAAJ/77/2016 du 14 avril 2016</w:t>
      </w:r>
    </w:p>
    <w:p>
      <w:r>
        <w:t>IT: GE_GERICHTE DAAJ/77/2016 del 14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w:t>
      </w:r>
    </w:p>
    <w:p>
      <w:r>
        <w:t>- 4/6 -</w:t>
      </w:r>
    </w:p>
    <w:p>
      <w:r>
        <w:t>AC/1104/2016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A teneur de l'art. 287 al. 2 CC, les contributions d'entretien fixées par convention peuvent être modifiées, à moins qu'une telle modification n'ait été exclue avec l'approbation de l'autorité de protection de l'enfant. La clause d'exclusion empêche toute modification ultérieure, que celle-ci soit sollicitée par l'enfant ou par le débiteur, une modification ne pouvant alors être imposée qu'aux strictes et exceptionnelles conditions posées par la théorie de l'imprévision (PERRIN, Commentaire romand, Code civil I, 2010, ad art. 287, N° 10, p. 1787). D'après le Tribunal fédéral, selon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relèverait abusif (ATF 127 III 200 ; 135 III 1). Il ressort de la jurisprudence du Tribunal fédéral que le changement de circonstances ayant entouré la conclusion du contrat ne devait pas être prévisible (PICHONNAZ, La pratique contractuelle 2, 2011, p. 27).</w:t>
      </w:r>
    </w:p>
    <w:p>
      <w:r>
        <w:rPr>
          <w:b/>
        </w:rPr>
        <w:t>E. 2.3</w:t>
      </w:r>
    </w:p>
    <w:p>
      <w:r>
        <w:t>En l'espèce, lorsque le recourant s'est engagé, en mai 2015, à renoncer à solliciter toute modification ultérieure de la contribution d'entretien due à sa fille, engagement homologué par le TPI, il bénéficiait déjà des prestations du chômage et savait que son droit prendrait fin au 31 janvier 2016. Il était donc envisageable qu'il puisse ne pas retrouver d'emploi d'ici à cette date. Dans cette mesure, le fait que le recourant n'en ait effectivement pas retrouvé un ne constitue pas a priori un changement important et imprévisible des circonstances. En conséquence, c'est à bon droit que le Vice-président du Tribunal civil a refusé de lui octroyer l'assistance juridique pour la procédure visant à la modification du jugement du 12 mai 2015, au motif que sa cause paraissait dénuée de chances de succès.</w:t>
      </w:r>
    </w:p>
    <w:p>
      <w:r>
        <w:t>- 5/6 -</w:t>
      </w:r>
    </w:p>
    <w:p>
      <w:r>
        <w:t>AC/1104/2016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- 6/6 -</w:t>
      </w:r>
    </w:p>
    <w:p>
      <w:r>
        <w:t>AC/1104/2016 PAR CES MOTIFS, LE VICE-PRÉSIDENT DE LA COUR : A la forme : Déclare recevable le recours formé par A______ contre la décision rendue le 14 avril 2016 par le Vice-président du Tribunal civil dans la cause AC/1104/2016. Au fond : Le rejette. Déboute A______ de toutes autres conclusions. Dit qu'il n'est pas perçu de frais judiciaires pour le recours, ni alloué de dépens. Notifie une copie de la présente décision à A______ en l'Étude de Me Andrea VON FLÜE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