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DAAJ/76/2022 vom 15. Juni 2022</w:t>
      </w:r>
    </w:p>
    <w:p>
      <w:r>
        <w:t>GE Cour de justice, 2022-06-15, FR</w:t>
      </w:r>
    </w:p>
    <w:p>
      <w:r>
        <w:rPr>
          <w:b/>
        </w:rPr>
        <w:t xml:space="preserve">Quelle: </w:t>
      </w:r>
      <w:r>
        <w:t>https://mcp.opencaselaw.ch/entscheid/ge_gerichte_DAAJ_76_2022</w:t>
      </w:r>
    </w:p>
    <w:p>
      <w:r>
        <w:t>FR: GE_GERICHTE DAAJ/76/2022 du 15 juin 2022</w:t>
      </w:r>
    </w:p>
    <w:p>
      <w:r>
        <w:t>IT: GE_GERICHTE DAAJ/76/2022 del 15 giugno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2.1.1</w:t>
      </w:r>
    </w:p>
    <w:p>
      <w:r>
        <w:t>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w:t>
      </w:r>
    </w:p>
    <w:p>
      <w:r>
        <w:rPr>
          <w:b/>
        </w:rPr>
        <w:t>E. 2.1.2</w:t>
      </w:r>
    </w:p>
    <w:p>
      <w:r>
        <w:t>Selon l'art. 17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w:t>
      </w:r>
    </w:p>
    <w:p>
      <w:r>
        <w:t>- 5/7 -</w:t>
      </w:r>
    </w:p>
    <w:p>
      <w:r>
        <w:t>AC/3086/2020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w:t>
      </w:r>
    </w:p>
    <w:p>
      <w:r>
        <w:rPr>
          <w:b/>
        </w:rPr>
        <w:t>E. 2.2</w:t>
      </w:r>
    </w:p>
    <w:p>
      <w:r>
        <w:t>2.2.1 En l'espèce, il convient d'examiner si un changement d'avocat se justifie au regard de l'art. 17 al. 1 let a) et/ou c) RAJ, soit en raison d'une absence prolongée de l'avocate ou d'une rupture du lien de confiance entre la recourante et son conseil nommé d'office, étant rappelé que la recourante, dans le cadre de l'assistance judiciaire, ne dispose pas du libre choix de sa mandataire car celle-ci n'exécute pas un mandat de droit privé, mais accomplit une tâche de droit public. La recourante a affirmé, le 24 mai 2022, avoir vainement tenté de joindre son avocate par téléphone, en vue de l'audience du 9 juin 2022. Cependant, la recourante n'a indiqué ni les jours, ni les heures auxquelles elle avait téléphoné à l'Etude, ni les réponses qu'elle avait éventuellement reçues du secrétariat de E______. De plus, la recourante n'a produit aucun courriel adressé directement à son conseil à B______@E______.ch, respectivement, en cas de non réponse, à l'Etude E______ à info@E______.ch, alors que l'avocate et la recourante communiquaient usuellement par courriels à ce propos. Enfin, la recourante n'a pas envoyé de courrier à son conseil ni ne s'est rendue à l'Etude pour clarifier la situation, étant rappelé que Me B______ est l'une des trois avocates au sein de E______ et qu'une personne au sein de l'Etude aurait pu renseigner la recourante, respectivement prendre note de son message. La recourante aurait ainsi fait preuve de bonne volonté et d'une collaboration constructive avec son conseil au lieu de s'impatienter neuf jours ouvrables avant l'audience du 9 juin 2022, à laquelle elle ne s'est pas présentée.</w:t>
      </w:r>
    </w:p>
    <w:p>
      <w:r>
        <w:t>- 6/7 -</w:t>
      </w:r>
    </w:p>
    <w:p>
      <w:r>
        <w:t>AC/3086/2020 La recourante n'a, dès lors, pas non plus rendu vraisemblable une absence prolongée ou une période d'indisponibilité de Me B______, de sorte qu'un changement d'avocat au sens de l'art. 17 al. 1 let. a ne se justifie pas.</w:t>
      </w:r>
    </w:p>
    <w:p>
      <w:r>
        <w:rPr>
          <w:b/>
        </w:rPr>
        <w:t>E. 2.2.2</w:t>
      </w:r>
    </w:p>
    <w:p>
      <w:r>
        <w:t>Il apparaît par ailleurs que Me B______ a été active et a déployé une activité d'avocate conforme aux intérêts de la recourante, en l'ayant représentée à quatre audiences (les 19 novembre 2020, 21 avril et 25 novembre 2021 et 9 juin 2022), en ayant rédigé deux écritures (réponse du 18 janvier 2021 à la requête de l'ex-époux en modification du jugement de divorce et déterminations du 21 mai 2021 sur les allégués complémentaires de l'ex-époux), et en confectionnant trois chargés (des 9 novembre 2020, 18 janvier et 30 juin 2021), dont certaines pièces ont été requises directement auprès de l'Hospice général. La recourante n'a, en outre, pas été en mesure d'articuler un reproche objectif, concret, précis, daté et documenté permettant d'imputer à Me B______ un manquement gravement préjudiciable à ses intérêts. Or, la perte de confiance alléguée ne peut pas reposer uniquement sur des motifs subjectifs, car ceux-ci ne suffisent pas à justifier le relief de la nomination de Me B______ en application de l'art. 17 al. 1 let. c RAJ. C'est, dès lors, avec raison que la Vice-présidente a refusé le changement de conseil juridique.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- 7/7 -</w:t>
      </w:r>
    </w:p>
    <w:p>
      <w:r>
        <w:t>AC/3086/2020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