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DAAJ/74/2022 vom 22. Juni 2022</w:t>
      </w:r>
    </w:p>
    <w:p>
      <w:r>
        <w:t>GE Cour de justice, 2022-06-22, FR</w:t>
      </w:r>
    </w:p>
    <w:p>
      <w:r>
        <w:rPr>
          <w:b/>
        </w:rPr>
        <w:t xml:space="preserve">Quelle: </w:t>
      </w:r>
      <w:r>
        <w:t>https://mcp.opencaselaw.ch/entscheid/ge_gerichte_DAAJ_74_2022</w:t>
      </w:r>
    </w:p>
    <w:p>
      <w:r>
        <w:t>FR: GE_GERICHTE DAAJ/74/2022 du 22 juin 2022</w:t>
      </w:r>
    </w:p>
    <w:p>
      <w:r>
        <w:t>IT: GE_GERICHTE DAAJ/74/2022 del 22 giugno 2022</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- 5/9 -</w:t>
      </w:r>
    </w:p>
    <w:p>
      <w:r>
        <w:t>AC/1272/2022 Par conséquent, les allégués de faits dont le recourant n'a pas fait état en première instance et les pièces nouvelles ne seront pas pris en considération.</w:t>
      </w:r>
    </w:p>
    <w:p>
      <w:r>
        <w:rPr>
          <w:b/>
        </w:rPr>
        <w:t>E. 3</w:t>
      </w:r>
    </w:p>
    <w:p>
      <w:r>
        <w:t>Le recourant reproche à la Vice-présidente un examen de sa situation "condamnatoire et superficiel", qui s'est focalisé sur le loyer de la maison en 3'200 fr., laquelle est partiellement utilisée pour son entreprise, et d'avoir omis de relever qu'il avait subi une perte sur l'exercice 2021 (10'128 fr.), quand bien même celle-ci était moins importante que celle de l'année 2020 (28'155 fr.).</w:t>
      </w:r>
    </w:p>
    <w:p>
      <w:r>
        <w:rPr>
          <w:b/>
        </w:rPr>
        <w:t>E. 3.1</w:t>
      </w:r>
    </w:p>
    <w:p>
      <w:r>
        <w:t>3.1.1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w:t>
      </w:r>
    </w:p>
    <w:p>
      <w:r>
        <w:t>- 6/9 -</w:t>
      </w:r>
    </w:p>
    <w:p>
      <w:r>
        <w:t>AC/1272/2022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3.1.2.1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t>- 7/9 -</w:t>
      </w:r>
    </w:p>
    <w:p>
      <w:r>
        <w:t>AC/1272/2022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3.1.2.2</w:t>
      </w:r>
    </w:p>
    <w:p>
      <w:r>
        <w:t>La modification de la contribution d'entretien due à l'ex-conjoint, fixée dans un jugement de divorce, est régie par l'art. 129 CC. Selon l'al. 1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(ATF 138 III 289 consid. 11.1.1; 131 III 189 consid. 2.7.4; arrêts du Tribunal fédéral 5A_902/2020 du 25 janvier 2021 consid. 5.1.1 et 5A_964/2018 du 26 juin 2019 consid. 3.2.1).</w:t>
      </w:r>
    </w:p>
    <w:p>
      <w:r>
        <w:rPr>
          <w:b/>
        </w:rPr>
        <w:t>E. 3.2</w:t>
      </w:r>
    </w:p>
    <w:p>
      <w:r>
        <w:t>3.2.1 En l'espèce, force est de relever que le recourant ne rend pas son indigence vraisemblable à la suite de la pandémie, que ce soit par la diminution de son chiffre d'affaires ou l'augmentation de ses charges professionnelles. En 2018 et 2019, le recourant a réalisé un chiffre d'affaires moyen de 222'223 fr. ([207'570 fr. + 236'875 fr.] ./. 2), lequel s'est effectivement réduit à 180'683 fr. en 2020 (diminution de 18,69%). Cependant, le chiffre d'affaires s'est élevé à 231'922 fr. en 2021 (augmentation de 4,36% par rapport au chiffre d'affaires moyen), ce qui signifie qu'après avoir accusé une baisse en 2020, ses ventes sont reparties à la hausse en 2021. L'effet de la pandémie sur son chiffre d'affaires a dès lors été passager. S'agissant des charges professionnelles du recourant, de 212'458 fr. en 2018, celles-ci ont augmenté à 284'044 fr. en 2019 (+ 71'586 fr.), puis se sont effectivement réduites à 208'049 fr. en 2020 (- 75'195 fr.). Cependant, les charges, de 242'049 fr. en 2021, signifie que celles-ci sont reparties à la hausse (+ 33'200 fr.). Sur ce point également, l'effet de la pandémie n'a affecté que ponctuellement les charges professionnelles du recourant. Cela se remarque également par le fait que le recourant a continué à louer la maison à 3'200 fr. par mois et à conserver un parc important de véhicules, qui ont entraîné des coûts de parking et d'entretien conséquents (2018 : 9'375 fr., 2019 : 30'840 fr., 2020 : 31'800 fr. et 2021 : 31'510 fr.), n'ayant ainsi pas dû sabrer drastiquement dans ses charges d'exploitation. Enfin, le recourant, qui avait augmenté le poste de "salaires et charges sociales" de 2018 à 2019 (de 2'543 fr. à 46'253, soit + 43'710 fr.), a effectivement réduit celui-ci en 2020 à 22'815 fr. (soit – 23'438 fr.), mais a ensuite nettement augmenté celui-ci à</w:t>
      </w:r>
    </w:p>
    <w:p>
      <w:r>
        <w:t>- 8/9 -</w:t>
      </w:r>
    </w:p>
    <w:p>
      <w:r>
        <w:t>AC/1272/2022 46'071 fr. en 2021 (+ 23'256 fr.), ne démontrant dès lors pas avoir dû réduire ces postes pour assurer la viabilité de son entreprise. Dans ces conditions, le fait qu'il ne s'acquitte pas de ses primes d'assurance-maladie ou soit aux poursuites ne modifie pas cette analyse, dès lors qu'en diminuant ses charges professionnelles, dont l'augmentation depuis 2018, difficilement explicable, n'est pas démontrée par les pièces comptables produites en raison de leur faible force probatoire, le recourant pourrait nettement améliorer sa situation financière (bénéfices bruts, soit chiffres d'affaires – achats de marchandises, en 2018 : 48'501 fr., 2019 : 123'714 fr., 2020 : 78'353 fr. et 2021 : 120'562 fr.). Quant aux pertes d'exploitation, celles-ci se sont élevées à 4'888 fr. en 2018, puis à 47'168 fr. en 2019, puis à 28'166 fr. en 2020 et à 10'127 fr. en 2021, de sorte que la tendance va vers la diminution de son déficit annuel. Il résulte de ce qui précède que le recourant n'a pas rendu son indigence vraisemblable, en particulier la péjoration de sa situation financière, de sorte que son revenu mensuel net demeure en l'état fixé à 6'000 fr., ainsi que le Tribunal et la Cour l'ont retenu, pour des charges mensuelles actualisées à hauteur de 3'959 fr. (base mensuelle d'entretien : 1'200 fr., ½ loyer de 3'200 fr. : 1'600 fr., assurance-maladie obligatoire : 350 fr., prêt Covid : 400 fr., remboursement SIG : 409 fr.), soit un disponible mensuel a priori de 2'041 fr., respectivement de 541 fr. avec la prise en compte de la contribution mensuelle d'entretien de 1'500 fr., dont on ignore si elle est effectivement payée, qui lui permet d'assumer les honoraires d'avocat et le coût d'une procédure en modification du jugement de divorce, le cas échéant par le versement de mensualités à son conseil.</w:t>
      </w:r>
    </w:p>
    <w:p>
      <w:r>
        <w:rPr>
          <w:b/>
        </w:rPr>
        <w:t>E. 3.2.2</w:t>
      </w:r>
    </w:p>
    <w:p>
      <w:r>
        <w:t>C'est également avec raison que la Vice-présidente a considéré que les chances de succès du recourant dans une action en modification du jugement de divorce du 31 mai 2019 paraissaient faibles. En effet, le recourant n'a notamment pas rendu vraisemblable que la pandémie aurait notablement et durablement péjoré sa situation financière, puisqu'il a été retenu ci- dessus que l'impact de la pandémie n'a eu qu'une incidence passagère sur son chiffre d'affaires et qu'il n'a pas eu besoin de réduire ses charges professionnelles. En tout état de cause, le disponible mensuel du recourant, a priori de 2'041 fr., lui permet d'assumer la contribution mensuelle d'entretien due à son ex-épouse en 1'500 fr. Partant, le recours, infondé, sera rejeté.</w:t>
      </w:r>
    </w:p>
    <w:p>
      <w:r>
        <w:rPr>
          <w:b/>
        </w:rPr>
        <w:t>E. 4</w:t>
      </w:r>
    </w:p>
    <w:p>
      <w:r>
        <w:t>Sauf exceptions non réalisées en l'espèce, il n'est pas perçu de frais judiciaires pour la procédure d'assistance juridique (art. 119 al. 6 CPC). Par ailleurs, il n'y a pas lieu d'allouer des dépens, vu l'issue du recours. * * * * *</w:t>
      </w:r>
    </w:p>
    <w:p>
      <w:r>
        <w:t>- 9/9 -</w:t>
      </w:r>
    </w:p>
    <w:p>
      <w:r>
        <w:t>AC/1272/2022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